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8E064" w14:textId="77777777" w:rsidR="00453D07" w:rsidRPr="00AA16D7" w:rsidRDefault="00453D07" w:rsidP="00453D07">
      <w:pPr>
        <w:spacing w:after="120" w:line="276" w:lineRule="auto"/>
        <w:jc w:val="center"/>
        <w:rPr>
          <w:rFonts w:ascii="Trebuchet MS" w:hAnsi="Trebuchet MS"/>
          <w:b/>
        </w:rPr>
      </w:pPr>
      <w:r w:rsidRPr="00AA16D7">
        <w:rPr>
          <w:rFonts w:ascii="Trebuchet MS" w:hAnsi="Trebuchet MS"/>
          <w:b/>
        </w:rPr>
        <w:t>CAMERA DEPUTA</w:t>
      </w:r>
      <w:r w:rsidR="00A05E04">
        <w:rPr>
          <w:rFonts w:ascii="Trebuchet MS" w:hAnsi="Trebuchet MS"/>
          <w:b/>
        </w:rPr>
        <w:t>Ț</w:t>
      </w:r>
      <w:r w:rsidRPr="00AA16D7">
        <w:rPr>
          <w:rFonts w:ascii="Trebuchet MS" w:hAnsi="Trebuchet MS"/>
          <w:b/>
        </w:rPr>
        <w:t>ILOR</w:t>
      </w:r>
      <w:r w:rsidRPr="00AA16D7">
        <w:rPr>
          <w:rFonts w:ascii="Trebuchet MS" w:hAnsi="Trebuchet MS"/>
          <w:b/>
        </w:rPr>
        <w:tab/>
      </w:r>
      <w:r w:rsidRPr="00AA16D7">
        <w:rPr>
          <w:rFonts w:ascii="Trebuchet MS" w:hAnsi="Trebuchet MS"/>
          <w:b/>
        </w:rPr>
        <w:tab/>
      </w:r>
      <w:r w:rsidRPr="00AA16D7">
        <w:rPr>
          <w:rFonts w:ascii="Trebuchet MS" w:hAnsi="Trebuchet MS"/>
          <w:b/>
        </w:rPr>
        <w:tab/>
      </w:r>
      <w:r w:rsidRPr="00AA16D7">
        <w:rPr>
          <w:rFonts w:ascii="Trebuchet MS" w:hAnsi="Trebuchet MS"/>
          <w:b/>
        </w:rPr>
        <w:tab/>
      </w:r>
      <w:r w:rsidRPr="00AA16D7">
        <w:rPr>
          <w:rFonts w:ascii="Trebuchet MS" w:hAnsi="Trebuchet MS"/>
          <w:b/>
        </w:rPr>
        <w:tab/>
      </w:r>
      <w:r w:rsidRPr="00AA16D7">
        <w:rPr>
          <w:rFonts w:ascii="Trebuchet MS" w:hAnsi="Trebuchet MS"/>
          <w:b/>
        </w:rPr>
        <w:tab/>
      </w:r>
      <w:r w:rsidRPr="00AA16D7">
        <w:rPr>
          <w:rFonts w:ascii="Trebuchet MS" w:hAnsi="Trebuchet MS"/>
          <w:b/>
        </w:rPr>
        <w:tab/>
        <w:t>SENAT</w:t>
      </w:r>
    </w:p>
    <w:p w14:paraId="5BA541DB" w14:textId="269400C2" w:rsidR="00453D07" w:rsidRDefault="00453D07" w:rsidP="00453D07">
      <w:pPr>
        <w:spacing w:after="120" w:line="276" w:lineRule="auto"/>
        <w:jc w:val="both"/>
        <w:rPr>
          <w:rFonts w:ascii="Trebuchet MS" w:hAnsi="Trebuchet MS"/>
          <w:b/>
        </w:rPr>
      </w:pPr>
    </w:p>
    <w:p w14:paraId="16EDE906" w14:textId="77777777" w:rsidR="00F14856" w:rsidRPr="00AA16D7" w:rsidRDefault="00F14856" w:rsidP="00453D07">
      <w:pPr>
        <w:spacing w:after="120" w:line="276" w:lineRule="auto"/>
        <w:jc w:val="both"/>
        <w:rPr>
          <w:rFonts w:ascii="Trebuchet MS" w:hAnsi="Trebuchet MS"/>
          <w:b/>
        </w:rPr>
      </w:pPr>
    </w:p>
    <w:p w14:paraId="6DDC4D1E" w14:textId="77777777" w:rsidR="00453D07" w:rsidRPr="00AA16D7" w:rsidRDefault="00453D07" w:rsidP="00453D07">
      <w:pPr>
        <w:spacing w:after="120" w:line="276" w:lineRule="auto"/>
        <w:jc w:val="center"/>
        <w:rPr>
          <w:rFonts w:ascii="Trebuchet MS" w:hAnsi="Trebuchet MS"/>
          <w:b/>
        </w:rPr>
      </w:pPr>
      <w:r w:rsidRPr="00AA16D7">
        <w:rPr>
          <w:rFonts w:ascii="Trebuchet MS" w:hAnsi="Trebuchet MS"/>
          <w:b/>
        </w:rPr>
        <w:t xml:space="preserve">Lege </w:t>
      </w:r>
    </w:p>
    <w:p w14:paraId="37875A94" w14:textId="6AE55D84" w:rsidR="00453D07" w:rsidRPr="00AA16D7" w:rsidRDefault="00453D07" w:rsidP="00453D07">
      <w:pPr>
        <w:spacing w:after="120" w:line="276" w:lineRule="auto"/>
        <w:jc w:val="center"/>
        <w:rPr>
          <w:rFonts w:ascii="Trebuchet MS" w:hAnsi="Trebuchet MS"/>
          <w:b/>
          <w:strike/>
        </w:rPr>
      </w:pPr>
      <w:bookmarkStart w:id="0" w:name="_Hlk103589869"/>
      <w:r w:rsidRPr="00AA16D7">
        <w:rPr>
          <w:rFonts w:ascii="Trebuchet MS" w:hAnsi="Trebuchet MS"/>
          <w:b/>
        </w:rPr>
        <w:t xml:space="preserve">pentru modificarea </w:t>
      </w:r>
      <w:r w:rsidR="00A05E04">
        <w:rPr>
          <w:rFonts w:ascii="Trebuchet MS" w:hAnsi="Trebuchet MS"/>
          <w:b/>
        </w:rPr>
        <w:t>ș</w:t>
      </w:r>
      <w:r w:rsidRPr="00AA16D7">
        <w:rPr>
          <w:rFonts w:ascii="Trebuchet MS" w:hAnsi="Trebuchet MS"/>
          <w:b/>
        </w:rPr>
        <w:t xml:space="preserve">i completarea </w:t>
      </w:r>
      <w:r w:rsidRPr="00AA16D7">
        <w:rPr>
          <w:rFonts w:ascii="Trebuchet MS" w:hAnsi="Trebuchet MS"/>
          <w:b/>
          <w:iCs/>
        </w:rPr>
        <w:t>Legii nr. 286/2009 privind Codul penal</w:t>
      </w:r>
    </w:p>
    <w:bookmarkEnd w:id="0"/>
    <w:p w14:paraId="5EAAC225" w14:textId="61281BC1" w:rsidR="00453D07" w:rsidRDefault="00453D07" w:rsidP="00453D07">
      <w:pPr>
        <w:spacing w:after="120" w:line="276" w:lineRule="auto"/>
        <w:rPr>
          <w:rFonts w:ascii="Trebuchet MS" w:hAnsi="Trebuchet MS"/>
        </w:rPr>
      </w:pPr>
    </w:p>
    <w:p w14:paraId="5ABDB40C" w14:textId="77777777" w:rsidR="002E403E" w:rsidRPr="00AA16D7" w:rsidRDefault="002E403E" w:rsidP="00453D07">
      <w:pPr>
        <w:spacing w:after="120" w:line="276" w:lineRule="auto"/>
        <w:rPr>
          <w:rFonts w:ascii="Trebuchet MS" w:hAnsi="Trebuchet MS"/>
        </w:rPr>
      </w:pPr>
    </w:p>
    <w:p w14:paraId="57E6F23C" w14:textId="2F707416" w:rsidR="00453D07" w:rsidRDefault="00453D07" w:rsidP="00A05E04">
      <w:pPr>
        <w:spacing w:after="0" w:line="276" w:lineRule="auto"/>
        <w:jc w:val="both"/>
        <w:rPr>
          <w:rFonts w:ascii="Trebuchet MS" w:hAnsi="Trebuchet MS"/>
        </w:rPr>
      </w:pPr>
      <w:r w:rsidRPr="00AA16D7">
        <w:rPr>
          <w:rFonts w:ascii="Trebuchet MS" w:hAnsi="Trebuchet MS"/>
        </w:rPr>
        <w:t>Parlamentul României adoptă prezenta lege.</w:t>
      </w:r>
    </w:p>
    <w:p w14:paraId="08224A96" w14:textId="77777777" w:rsidR="00F14856" w:rsidRPr="00AA16D7" w:rsidRDefault="00F14856" w:rsidP="00A05E04">
      <w:pPr>
        <w:spacing w:after="0" w:line="276" w:lineRule="auto"/>
        <w:jc w:val="both"/>
        <w:rPr>
          <w:rFonts w:ascii="Trebuchet MS" w:hAnsi="Trebuchet MS"/>
        </w:rPr>
      </w:pPr>
    </w:p>
    <w:p w14:paraId="51E7DE1C" w14:textId="77777777" w:rsidR="00453D07" w:rsidRPr="00AA16D7" w:rsidRDefault="00453D07" w:rsidP="00A05E04">
      <w:pPr>
        <w:spacing w:after="0" w:line="276" w:lineRule="auto"/>
        <w:jc w:val="both"/>
        <w:rPr>
          <w:rFonts w:ascii="Trebuchet MS" w:hAnsi="Trebuchet MS"/>
          <w:b/>
        </w:rPr>
      </w:pPr>
    </w:p>
    <w:p w14:paraId="4740AABE" w14:textId="77777777" w:rsidR="00453D07" w:rsidRPr="00711C8A" w:rsidRDefault="00453D07" w:rsidP="00711C8A">
      <w:pPr>
        <w:spacing w:after="0" w:line="276" w:lineRule="auto"/>
        <w:jc w:val="both"/>
        <w:rPr>
          <w:rFonts w:ascii="Trebuchet MS" w:hAnsi="Trebuchet MS"/>
          <w:b/>
        </w:rPr>
      </w:pPr>
      <w:r w:rsidRPr="00711C8A">
        <w:rPr>
          <w:rFonts w:ascii="Trebuchet MS" w:hAnsi="Trebuchet MS"/>
          <w:b/>
        </w:rPr>
        <w:t>Art. I</w:t>
      </w:r>
    </w:p>
    <w:p w14:paraId="16E31B4F" w14:textId="77777777" w:rsidR="00453D07" w:rsidRPr="00711C8A" w:rsidRDefault="00453D07" w:rsidP="00711C8A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imes New Roman"/>
        </w:rPr>
      </w:pPr>
      <w:r w:rsidRPr="00711C8A">
        <w:rPr>
          <w:rFonts w:ascii="Trebuchet MS" w:hAnsi="Trebuchet MS" w:cs="Times New Roman"/>
        </w:rPr>
        <w:t xml:space="preserve">Legea nr. 286/2009 privind Codul penal, publicată în Monitorul Oficial al României, Partea I, nr. 510 din 24 iulie 2009, cu modificările </w:t>
      </w:r>
      <w:r w:rsidR="00A05E04" w:rsidRPr="00711C8A">
        <w:rPr>
          <w:rFonts w:ascii="Trebuchet MS" w:hAnsi="Trebuchet MS" w:cs="Times New Roman"/>
        </w:rPr>
        <w:t>ș</w:t>
      </w:r>
      <w:r w:rsidRPr="00711C8A">
        <w:rPr>
          <w:rFonts w:ascii="Trebuchet MS" w:hAnsi="Trebuchet MS" w:cs="Times New Roman"/>
        </w:rPr>
        <w:t xml:space="preserve">i completările ulterioare, se modifică </w:t>
      </w:r>
      <w:r w:rsidR="00A05E04" w:rsidRPr="00711C8A">
        <w:rPr>
          <w:rFonts w:ascii="Trebuchet MS" w:hAnsi="Trebuchet MS" w:cs="Times New Roman"/>
        </w:rPr>
        <w:t>ș</w:t>
      </w:r>
      <w:r w:rsidRPr="00711C8A">
        <w:rPr>
          <w:rFonts w:ascii="Trebuchet MS" w:hAnsi="Trebuchet MS" w:cs="Times New Roman"/>
        </w:rPr>
        <w:t>i se completează după cum urmează:</w:t>
      </w:r>
    </w:p>
    <w:p w14:paraId="219B68D6" w14:textId="77777777" w:rsidR="00453D07" w:rsidRPr="00711C8A" w:rsidRDefault="00453D07" w:rsidP="00711C8A">
      <w:pPr>
        <w:spacing w:after="0" w:line="276" w:lineRule="auto"/>
        <w:jc w:val="both"/>
        <w:rPr>
          <w:rFonts w:ascii="Trebuchet MS" w:hAnsi="Trebuchet MS"/>
        </w:rPr>
      </w:pPr>
    </w:p>
    <w:p w14:paraId="6211A9FD" w14:textId="25599FC0" w:rsidR="00453D07" w:rsidRPr="00F14856" w:rsidRDefault="00453D07" w:rsidP="00711C8A">
      <w:pPr>
        <w:spacing w:after="0" w:line="276" w:lineRule="auto"/>
        <w:jc w:val="both"/>
        <w:rPr>
          <w:rFonts w:ascii="Trebuchet MS" w:hAnsi="Trebuchet MS"/>
        </w:rPr>
      </w:pPr>
      <w:r w:rsidRPr="00F44845">
        <w:rPr>
          <w:rFonts w:ascii="Trebuchet MS" w:hAnsi="Trebuchet MS"/>
        </w:rPr>
        <w:t xml:space="preserve">1. La articolul 285, după </w:t>
      </w:r>
      <w:r w:rsidRPr="00F14856">
        <w:rPr>
          <w:rFonts w:ascii="Trebuchet MS" w:hAnsi="Trebuchet MS"/>
        </w:rPr>
        <w:t>alineatul (</w:t>
      </w:r>
      <w:r w:rsidR="00014916" w:rsidRPr="00F14856">
        <w:rPr>
          <w:rFonts w:ascii="Trebuchet MS" w:hAnsi="Trebuchet MS"/>
        </w:rPr>
        <w:t>3</w:t>
      </w:r>
      <w:r w:rsidRPr="00F14856">
        <w:rPr>
          <w:rFonts w:ascii="Trebuchet MS" w:hAnsi="Trebuchet MS"/>
        </w:rPr>
        <w:t>) se introduc</w:t>
      </w:r>
      <w:r w:rsidR="00014916" w:rsidRPr="00F14856">
        <w:rPr>
          <w:rFonts w:ascii="Trebuchet MS" w:hAnsi="Trebuchet MS"/>
        </w:rPr>
        <w:t>e</w:t>
      </w:r>
      <w:r w:rsidRPr="00F14856">
        <w:rPr>
          <w:rFonts w:ascii="Trebuchet MS" w:hAnsi="Trebuchet MS"/>
        </w:rPr>
        <w:t xml:space="preserve"> </w:t>
      </w:r>
      <w:r w:rsidR="00014916" w:rsidRPr="00F14856">
        <w:rPr>
          <w:rFonts w:ascii="Trebuchet MS" w:hAnsi="Trebuchet MS"/>
        </w:rPr>
        <w:t>un alineat nou</w:t>
      </w:r>
      <w:r w:rsidRPr="00F14856">
        <w:rPr>
          <w:rFonts w:ascii="Trebuchet MS" w:hAnsi="Trebuchet MS"/>
        </w:rPr>
        <w:t>, alin. (</w:t>
      </w:r>
      <w:r w:rsidR="00014916" w:rsidRPr="00F14856">
        <w:rPr>
          <w:rFonts w:ascii="Trebuchet MS" w:hAnsi="Trebuchet MS"/>
        </w:rPr>
        <w:t>3</w:t>
      </w:r>
      <w:r w:rsidR="00014916" w:rsidRPr="00F14856">
        <w:rPr>
          <w:rFonts w:ascii="Trebuchet MS" w:hAnsi="Trebuchet MS"/>
          <w:vertAlign w:val="superscript"/>
        </w:rPr>
        <w:t>1</w:t>
      </w:r>
      <w:r w:rsidRPr="00F14856">
        <w:rPr>
          <w:rFonts w:ascii="Trebuchet MS" w:hAnsi="Trebuchet MS"/>
        </w:rPr>
        <w:t>), cu următorul cuprins:</w:t>
      </w:r>
    </w:p>
    <w:p w14:paraId="729D3F85" w14:textId="53EE430C" w:rsidR="0054558F" w:rsidRDefault="0054558F" w:rsidP="0054558F">
      <w:pPr>
        <w:spacing w:after="0" w:line="276" w:lineRule="auto"/>
        <w:jc w:val="both"/>
        <w:rPr>
          <w:rFonts w:ascii="Trebuchet MS" w:hAnsi="Trebuchet MS"/>
        </w:rPr>
      </w:pPr>
      <w:r w:rsidRPr="00F14856">
        <w:rPr>
          <w:rFonts w:ascii="Trebuchet MS" w:hAnsi="Trebuchet MS"/>
        </w:rPr>
        <w:t>„(3</w:t>
      </w:r>
      <w:r w:rsidRPr="00F14856">
        <w:rPr>
          <w:rFonts w:ascii="Trebuchet MS" w:hAnsi="Trebuchet MS"/>
          <w:vertAlign w:val="superscript"/>
        </w:rPr>
        <w:t>1</w:t>
      </w:r>
      <w:r w:rsidRPr="00F14856">
        <w:rPr>
          <w:rFonts w:ascii="Trebuchet MS" w:hAnsi="Trebuchet MS"/>
        </w:rPr>
        <w:t xml:space="preserve">) </w:t>
      </w:r>
      <w:r w:rsidRPr="00F14856">
        <w:rPr>
          <w:rStyle w:val="salnbdy"/>
          <w:rFonts w:ascii="Trebuchet MS" w:hAnsi="Trebuchet MS"/>
        </w:rPr>
        <w:t xml:space="preserve">Se consideră evadare </w:t>
      </w:r>
      <w:r w:rsidRPr="00F14856">
        <w:rPr>
          <w:rFonts w:ascii="Trebuchet MS" w:hAnsi="Trebuchet MS"/>
        </w:rPr>
        <w:t xml:space="preserve">și fapta persoanei condamnate definitiv la pedeapsa detențiunii pe viață sau la pedeapsa închisorii de a nu se preda organului de poliție în termen de </w:t>
      </w:r>
      <w:r w:rsidR="002E403E">
        <w:rPr>
          <w:rFonts w:ascii="Trebuchet MS" w:hAnsi="Trebuchet MS"/>
        </w:rPr>
        <w:t>7</w:t>
      </w:r>
      <w:r w:rsidRPr="00F14856">
        <w:rPr>
          <w:rFonts w:ascii="Trebuchet MS" w:hAnsi="Trebuchet MS"/>
        </w:rPr>
        <w:t xml:space="preserve"> zile de la data rămânerii definitive a respectivei hotărâri de condamnare.</w:t>
      </w:r>
      <w:r>
        <w:rPr>
          <w:rFonts w:ascii="Trebuchet MS" w:hAnsi="Trebuchet MS"/>
        </w:rPr>
        <w:t xml:space="preserve"> </w:t>
      </w:r>
    </w:p>
    <w:p w14:paraId="08F46C3E" w14:textId="23E92F10" w:rsidR="0054558F" w:rsidRDefault="0054558F" w:rsidP="0054558F">
      <w:pPr>
        <w:spacing w:after="0" w:line="276" w:lineRule="auto"/>
        <w:jc w:val="both"/>
        <w:rPr>
          <w:rFonts w:ascii="Trebuchet MS" w:hAnsi="Trebuchet MS"/>
        </w:rPr>
      </w:pPr>
    </w:p>
    <w:p w14:paraId="3443F784" w14:textId="7D2DBE8A" w:rsidR="007C4092" w:rsidRPr="00E949BD" w:rsidRDefault="007C4092" w:rsidP="007C4092">
      <w:pPr>
        <w:spacing w:after="0" w:line="276" w:lineRule="auto"/>
        <w:jc w:val="both"/>
        <w:rPr>
          <w:rFonts w:ascii="Trebuchet MS" w:hAnsi="Trebuchet MS"/>
        </w:rPr>
      </w:pPr>
      <w:r w:rsidRPr="00E949BD">
        <w:rPr>
          <w:rFonts w:ascii="Trebuchet MS" w:hAnsi="Trebuchet MS"/>
        </w:rPr>
        <w:t>2. La articolul 285, alineatul (4) se modifică și</w:t>
      </w:r>
      <w:r w:rsidR="005172FF" w:rsidRPr="00E949BD">
        <w:rPr>
          <w:rFonts w:ascii="Trebuchet MS" w:hAnsi="Trebuchet MS"/>
        </w:rPr>
        <w:t xml:space="preserve"> va avea</w:t>
      </w:r>
      <w:r w:rsidRPr="00E949BD">
        <w:rPr>
          <w:rFonts w:ascii="Trebuchet MS" w:hAnsi="Trebuchet MS"/>
        </w:rPr>
        <w:t xml:space="preserve"> următorul cuprins:</w:t>
      </w:r>
    </w:p>
    <w:p w14:paraId="2BD2D0B6" w14:textId="37B86F3D" w:rsidR="00D324D0" w:rsidRPr="00E949BD" w:rsidRDefault="007C4092" w:rsidP="007C4092">
      <w:pPr>
        <w:spacing w:after="0" w:line="276" w:lineRule="auto"/>
        <w:jc w:val="both"/>
        <w:rPr>
          <w:rFonts w:ascii="Trebuchet MS" w:hAnsi="Trebuchet MS"/>
        </w:rPr>
      </w:pPr>
      <w:r w:rsidRPr="00E949BD">
        <w:rPr>
          <w:rFonts w:ascii="Trebuchet MS" w:hAnsi="Trebuchet MS"/>
        </w:rPr>
        <w:t>„</w:t>
      </w:r>
      <w:r w:rsidR="00D324D0" w:rsidRPr="00E949BD">
        <w:rPr>
          <w:rFonts w:ascii="Trebuchet MS" w:hAnsi="Trebuchet MS"/>
        </w:rPr>
        <w:t>(4) În situațiile prevăzute la alin. (1), (2), (3) lit. a) și b) și alin. (3</w:t>
      </w:r>
      <w:r w:rsidR="00D324D0" w:rsidRPr="00E949BD">
        <w:rPr>
          <w:rFonts w:ascii="Trebuchet MS" w:hAnsi="Trebuchet MS"/>
          <w:vertAlign w:val="superscript"/>
        </w:rPr>
        <w:t>1</w:t>
      </w:r>
      <w:r w:rsidR="00D324D0" w:rsidRPr="00E949BD">
        <w:rPr>
          <w:rFonts w:ascii="Trebuchet MS" w:hAnsi="Trebuchet MS"/>
        </w:rPr>
        <w:t>), pedeapsa aplicată pentru infracțiunea de evadare se adaugă la pedeapsa rămasă neexecutată la data evadării.”</w:t>
      </w:r>
    </w:p>
    <w:p w14:paraId="4F77EA8C" w14:textId="17A9F9D3" w:rsidR="007C4092" w:rsidRPr="00E949BD" w:rsidRDefault="007C4092" w:rsidP="007E6A2F">
      <w:pPr>
        <w:spacing w:after="0" w:line="276" w:lineRule="auto"/>
        <w:jc w:val="both"/>
        <w:rPr>
          <w:rFonts w:ascii="Trebuchet MS" w:hAnsi="Trebuchet MS"/>
        </w:rPr>
      </w:pPr>
    </w:p>
    <w:p w14:paraId="37C7BEEC" w14:textId="513222AD" w:rsidR="0054558F" w:rsidRDefault="0054558F" w:rsidP="0054558F">
      <w:pPr>
        <w:spacing w:after="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3. </w:t>
      </w:r>
      <w:r w:rsidRPr="00F44845">
        <w:rPr>
          <w:rFonts w:ascii="Trebuchet MS" w:hAnsi="Trebuchet MS"/>
        </w:rPr>
        <w:t>La articolul 285, după alineatul (</w:t>
      </w:r>
      <w:r>
        <w:rPr>
          <w:rFonts w:ascii="Trebuchet MS" w:hAnsi="Trebuchet MS"/>
        </w:rPr>
        <w:t>5</w:t>
      </w:r>
      <w:r w:rsidRPr="00F44845">
        <w:rPr>
          <w:rFonts w:ascii="Trebuchet MS" w:hAnsi="Trebuchet MS"/>
        </w:rPr>
        <w:t>) se introduce un alineat nou, alin. (</w:t>
      </w:r>
      <w:r>
        <w:rPr>
          <w:rFonts w:ascii="Trebuchet MS" w:hAnsi="Trebuchet MS"/>
        </w:rPr>
        <w:t>6</w:t>
      </w:r>
      <w:r w:rsidRPr="00F44845">
        <w:rPr>
          <w:rFonts w:ascii="Trebuchet MS" w:hAnsi="Trebuchet MS"/>
        </w:rPr>
        <w:t>), cu următorul cuprins:</w:t>
      </w:r>
    </w:p>
    <w:p w14:paraId="04F42CB8" w14:textId="713C239A" w:rsidR="0054558F" w:rsidRDefault="0054558F" w:rsidP="0054558F">
      <w:pPr>
        <w:spacing w:after="0" w:line="276" w:lineRule="auto"/>
        <w:jc w:val="both"/>
        <w:rPr>
          <w:rFonts w:ascii="Trebuchet MS" w:hAnsi="Trebuchet MS" w:cs="Times New Roman"/>
          <w:iCs/>
        </w:rPr>
      </w:pPr>
      <w:r>
        <w:rPr>
          <w:rFonts w:ascii="Trebuchet MS" w:hAnsi="Trebuchet MS"/>
        </w:rPr>
        <w:t>„(6) Nu constituie infracțiunea prevăzută la alin. (3</w:t>
      </w:r>
      <w:r>
        <w:rPr>
          <w:rFonts w:ascii="Trebuchet MS" w:hAnsi="Trebuchet MS"/>
          <w:vertAlign w:val="superscript"/>
        </w:rPr>
        <w:t>1</w:t>
      </w:r>
      <w:r>
        <w:rPr>
          <w:rFonts w:ascii="Trebuchet MS" w:hAnsi="Trebuchet MS"/>
        </w:rPr>
        <w:t xml:space="preserve">) fapta săvârșită de persoana </w:t>
      </w:r>
      <w:r w:rsidRPr="00B06846">
        <w:rPr>
          <w:rFonts w:ascii="Trebuchet MS" w:hAnsi="Trebuchet MS" w:cs="Times New Roman"/>
          <w:iCs/>
        </w:rPr>
        <w:t>care nu a fost citată la proces și nu a luat cunoștință în niciun alt mod oficial despre acesta, respectiv, deși a avut cunoștință de proces, a lipsit în mod justificat de la judecarea cauzei și nu a putut încunoștința instanța.</w:t>
      </w:r>
      <w:r>
        <w:rPr>
          <w:rFonts w:ascii="Trebuchet MS" w:hAnsi="Trebuchet MS" w:cs="Times New Roman"/>
          <w:iCs/>
        </w:rPr>
        <w:t>”</w:t>
      </w:r>
    </w:p>
    <w:p w14:paraId="6EE1E399" w14:textId="417C3DBB" w:rsidR="00A067A3" w:rsidRDefault="00A067A3" w:rsidP="007E6A2F">
      <w:pPr>
        <w:spacing w:after="0" w:line="276" w:lineRule="auto"/>
        <w:jc w:val="both"/>
        <w:rPr>
          <w:rFonts w:ascii="Trebuchet MS" w:hAnsi="Trebuchet MS"/>
        </w:rPr>
      </w:pPr>
    </w:p>
    <w:p w14:paraId="56590061" w14:textId="77777777" w:rsidR="00F14856" w:rsidRPr="00E949BD" w:rsidRDefault="00F14856" w:rsidP="007E6A2F">
      <w:pPr>
        <w:spacing w:after="0" w:line="276" w:lineRule="auto"/>
        <w:jc w:val="both"/>
        <w:rPr>
          <w:rFonts w:ascii="Trebuchet MS" w:hAnsi="Trebuchet MS"/>
        </w:rPr>
      </w:pPr>
    </w:p>
    <w:p w14:paraId="78AB885A" w14:textId="03FBD2F9" w:rsidR="007E6A2F" w:rsidRPr="00E949BD" w:rsidRDefault="007E6A2F" w:rsidP="007E6A2F">
      <w:pPr>
        <w:spacing w:after="0" w:line="276" w:lineRule="auto"/>
        <w:jc w:val="both"/>
        <w:rPr>
          <w:rFonts w:ascii="Trebuchet MS" w:hAnsi="Trebuchet MS" w:cs="Times New Roman"/>
          <w:b/>
          <w:bCs/>
        </w:rPr>
      </w:pPr>
      <w:r w:rsidRPr="00E949BD">
        <w:rPr>
          <w:rFonts w:ascii="Trebuchet MS" w:hAnsi="Trebuchet MS" w:cs="Times New Roman"/>
          <w:b/>
          <w:bCs/>
        </w:rPr>
        <w:t>Art. II</w:t>
      </w:r>
    </w:p>
    <w:p w14:paraId="4A793F57" w14:textId="6680401A" w:rsidR="00F14856" w:rsidRDefault="00F14856" w:rsidP="00F14856">
      <w:pPr>
        <w:spacing w:after="0" w:line="276" w:lineRule="auto"/>
        <w:jc w:val="both"/>
        <w:rPr>
          <w:rFonts w:ascii="Trebuchet MS" w:hAnsi="Trebuchet MS" w:cs="Times New Roman"/>
          <w:b/>
          <w:i/>
        </w:rPr>
      </w:pPr>
      <w:r>
        <w:rPr>
          <w:rFonts w:ascii="Trebuchet MS" w:hAnsi="Trebuchet MS"/>
        </w:rPr>
        <w:t xml:space="preserve">(1) </w:t>
      </w:r>
      <w:r w:rsidR="00F82DC0" w:rsidRPr="00E949BD">
        <w:rPr>
          <w:rFonts w:ascii="Trebuchet MS" w:hAnsi="Trebuchet MS"/>
        </w:rPr>
        <w:t>Fapta persoanei condamnate la pedeapsa deten</w:t>
      </w:r>
      <w:r w:rsidR="00A05E04" w:rsidRPr="00E949BD">
        <w:rPr>
          <w:rFonts w:ascii="Trebuchet MS" w:hAnsi="Trebuchet MS"/>
        </w:rPr>
        <w:t>ț</w:t>
      </w:r>
      <w:r w:rsidR="00F82DC0" w:rsidRPr="00E949BD">
        <w:rPr>
          <w:rFonts w:ascii="Trebuchet MS" w:hAnsi="Trebuchet MS"/>
        </w:rPr>
        <w:t>iunii pe via</w:t>
      </w:r>
      <w:r w:rsidR="00A05E04" w:rsidRPr="00E949BD">
        <w:rPr>
          <w:rFonts w:ascii="Trebuchet MS" w:hAnsi="Trebuchet MS"/>
        </w:rPr>
        <w:t>ț</w:t>
      </w:r>
      <w:r w:rsidR="00F82DC0" w:rsidRPr="00E949BD">
        <w:rPr>
          <w:rFonts w:ascii="Trebuchet MS" w:hAnsi="Trebuchet MS"/>
        </w:rPr>
        <w:t>ă sau la pedeapsa închisorii dispuse printr-o hotărâre rămasă definitivă anterior intrării în vigoare a prezentei legi de a nu se preda organului de poli</w:t>
      </w:r>
      <w:r w:rsidR="00A05E04" w:rsidRPr="00E949BD">
        <w:rPr>
          <w:rFonts w:ascii="Trebuchet MS" w:hAnsi="Trebuchet MS"/>
        </w:rPr>
        <w:t>ț</w:t>
      </w:r>
      <w:r w:rsidR="00F82DC0" w:rsidRPr="00E949BD">
        <w:rPr>
          <w:rFonts w:ascii="Trebuchet MS" w:hAnsi="Trebuchet MS"/>
        </w:rPr>
        <w:t xml:space="preserve">ie în termen de </w:t>
      </w:r>
      <w:r w:rsidR="002E403E">
        <w:rPr>
          <w:rFonts w:ascii="Trebuchet MS" w:hAnsi="Trebuchet MS"/>
        </w:rPr>
        <w:t>7</w:t>
      </w:r>
      <w:r w:rsidR="00F82DC0" w:rsidRPr="00E949BD">
        <w:rPr>
          <w:rFonts w:ascii="Trebuchet MS" w:hAnsi="Trebuchet MS"/>
        </w:rPr>
        <w:t xml:space="preserve"> zile de la data </w:t>
      </w:r>
      <w:r w:rsidR="004948CB">
        <w:rPr>
          <w:rFonts w:ascii="Trebuchet MS" w:hAnsi="Trebuchet MS"/>
        </w:rPr>
        <w:t>intrării în vigoare a</w:t>
      </w:r>
      <w:r w:rsidR="00F82DC0" w:rsidRPr="00E949BD">
        <w:rPr>
          <w:rFonts w:ascii="Trebuchet MS" w:hAnsi="Trebuchet MS"/>
        </w:rPr>
        <w:t xml:space="preserve"> prezentei</w:t>
      </w:r>
      <w:r w:rsidR="004948CB">
        <w:rPr>
          <w:rFonts w:ascii="Trebuchet MS" w:hAnsi="Trebuchet MS"/>
        </w:rPr>
        <w:t xml:space="preserve"> legi</w:t>
      </w:r>
      <w:r w:rsidR="00F82DC0" w:rsidRPr="00E949BD">
        <w:rPr>
          <w:rFonts w:ascii="Trebuchet MS" w:hAnsi="Trebuchet MS" w:cs="Times New Roman"/>
        </w:rPr>
        <w:t xml:space="preserve"> se pedepse</w:t>
      </w:r>
      <w:r w:rsidR="00A05E04" w:rsidRPr="00E949BD">
        <w:rPr>
          <w:rFonts w:ascii="Trebuchet MS" w:hAnsi="Trebuchet MS" w:cs="Times New Roman"/>
        </w:rPr>
        <w:t>ș</w:t>
      </w:r>
      <w:r w:rsidR="00F82DC0" w:rsidRPr="00E949BD">
        <w:rPr>
          <w:rFonts w:ascii="Trebuchet MS" w:hAnsi="Trebuchet MS" w:cs="Times New Roman"/>
        </w:rPr>
        <w:t>te cu închisoare de la 6 luni la 3 ani.</w:t>
      </w:r>
      <w:r w:rsidR="00010BA6" w:rsidRPr="00AA16D7">
        <w:rPr>
          <w:rFonts w:ascii="Trebuchet MS" w:hAnsi="Trebuchet MS" w:cs="Times New Roman"/>
        </w:rPr>
        <w:t xml:space="preserve"> </w:t>
      </w:r>
      <w:r w:rsidRPr="007E6A2F" w:rsidDel="00F14856">
        <w:rPr>
          <w:rFonts w:ascii="Trebuchet MS" w:hAnsi="Trebuchet MS" w:cs="Times New Roman"/>
          <w:b/>
          <w:i/>
        </w:rPr>
        <w:t xml:space="preserve"> </w:t>
      </w:r>
    </w:p>
    <w:p w14:paraId="21F9ADD0" w14:textId="0CF26780" w:rsidR="00F14856" w:rsidRDefault="00F14856" w:rsidP="00F14856">
      <w:pPr>
        <w:spacing w:after="0" w:line="276" w:lineRule="auto"/>
        <w:jc w:val="both"/>
        <w:rPr>
          <w:rFonts w:ascii="Trebuchet MS" w:hAnsi="Trebuchet MS" w:cs="Times New Roman"/>
          <w:iCs/>
        </w:rPr>
      </w:pPr>
      <w:r>
        <w:rPr>
          <w:rFonts w:ascii="Trebuchet MS" w:hAnsi="Trebuchet MS"/>
        </w:rPr>
        <w:t xml:space="preserve">(2) Nu constituie infracțiunea prevăzută la alin. (1) fapta săvârșită de persoana </w:t>
      </w:r>
      <w:r w:rsidRPr="00B06846">
        <w:rPr>
          <w:rFonts w:ascii="Trebuchet MS" w:hAnsi="Trebuchet MS" w:cs="Times New Roman"/>
          <w:iCs/>
        </w:rPr>
        <w:t>care nu a fost citată la proces și nu a luat cunoștință în niciun alt mod oficial despre acesta, respectiv, deși a avut cunoștință de proces, a lipsit în mod justificat de la judecarea cauzei și nu a putut încunoștința instanța.</w:t>
      </w:r>
    </w:p>
    <w:p w14:paraId="328634BA" w14:textId="64751895" w:rsidR="00F82DC0" w:rsidRDefault="00F82DC0" w:rsidP="00A05E04">
      <w:pPr>
        <w:spacing w:after="0" w:line="276" w:lineRule="auto"/>
        <w:jc w:val="both"/>
        <w:rPr>
          <w:rFonts w:ascii="Trebuchet MS" w:hAnsi="Trebuchet MS" w:cs="Times New Roman"/>
        </w:rPr>
      </w:pPr>
    </w:p>
    <w:p w14:paraId="6F6FB248" w14:textId="77777777" w:rsidR="00F14856" w:rsidRDefault="00F14856" w:rsidP="00A05E04">
      <w:pPr>
        <w:spacing w:after="0" w:line="276" w:lineRule="auto"/>
        <w:jc w:val="both"/>
        <w:rPr>
          <w:rFonts w:ascii="Trebuchet MS" w:hAnsi="Trebuchet MS" w:cs="Times New Roman"/>
        </w:rPr>
      </w:pPr>
    </w:p>
    <w:p w14:paraId="7BCB84B5" w14:textId="77777777" w:rsidR="00755149" w:rsidRPr="00A067A3" w:rsidRDefault="00755149" w:rsidP="00755149">
      <w:pPr>
        <w:spacing w:after="0" w:line="276" w:lineRule="auto"/>
        <w:jc w:val="both"/>
        <w:rPr>
          <w:rFonts w:ascii="Trebuchet MS" w:hAnsi="Trebuchet MS" w:cs="Times New Roman"/>
          <w:b/>
          <w:bCs/>
        </w:rPr>
      </w:pPr>
      <w:r w:rsidRPr="00A067A3">
        <w:rPr>
          <w:rFonts w:ascii="Trebuchet MS" w:hAnsi="Trebuchet MS" w:cs="Times New Roman"/>
          <w:b/>
          <w:bCs/>
        </w:rPr>
        <w:t>Art. I</w:t>
      </w:r>
      <w:r>
        <w:rPr>
          <w:rFonts w:ascii="Trebuchet MS" w:hAnsi="Trebuchet MS" w:cs="Times New Roman"/>
          <w:b/>
          <w:bCs/>
        </w:rPr>
        <w:t>II</w:t>
      </w:r>
    </w:p>
    <w:p w14:paraId="0DA55367" w14:textId="77B1E5CE" w:rsidR="00F82DC0" w:rsidRPr="00AA16D7" w:rsidRDefault="00F82DC0" w:rsidP="00A05E04">
      <w:pPr>
        <w:spacing w:after="0" w:line="276" w:lineRule="auto"/>
        <w:jc w:val="both"/>
        <w:rPr>
          <w:rFonts w:ascii="Trebuchet MS" w:hAnsi="Trebuchet MS" w:cs="Times New Roman"/>
        </w:rPr>
      </w:pPr>
      <w:r w:rsidRPr="00AA16D7">
        <w:rPr>
          <w:rFonts w:ascii="Trebuchet MS" w:hAnsi="Trebuchet MS" w:cs="Times New Roman"/>
        </w:rPr>
        <w:t>Structurile Ministerului A</w:t>
      </w:r>
      <w:r w:rsidR="00077D17">
        <w:rPr>
          <w:rFonts w:ascii="Trebuchet MS" w:hAnsi="Trebuchet MS" w:cs="Times New Roman"/>
        </w:rPr>
        <w:t>facerilor</w:t>
      </w:r>
      <w:r w:rsidRPr="00AA16D7">
        <w:rPr>
          <w:rFonts w:ascii="Trebuchet MS" w:hAnsi="Trebuchet MS" w:cs="Times New Roman"/>
        </w:rPr>
        <w:t xml:space="preserve"> Interne</w:t>
      </w:r>
      <w:bookmarkStart w:id="1" w:name="_GoBack"/>
      <w:bookmarkEnd w:id="1"/>
      <w:r w:rsidRPr="00AA16D7">
        <w:rPr>
          <w:rFonts w:ascii="Trebuchet MS" w:hAnsi="Trebuchet MS" w:cs="Times New Roman"/>
        </w:rPr>
        <w:t xml:space="preserve"> care pun în executare ordinul de dare în urmărire potrivit art. 522 alin. (1) din Legea nr. 135/2010 privind Codul</w:t>
      </w:r>
      <w:r w:rsidR="002D5515" w:rsidRPr="00AA16D7">
        <w:rPr>
          <w:rFonts w:ascii="Trebuchet MS" w:hAnsi="Trebuchet MS" w:cs="Times New Roman"/>
        </w:rPr>
        <w:t xml:space="preserve"> de </w:t>
      </w:r>
      <w:r w:rsidRPr="00AA16D7">
        <w:rPr>
          <w:rFonts w:ascii="Trebuchet MS" w:hAnsi="Trebuchet MS" w:cs="Times New Roman"/>
        </w:rPr>
        <w:t>procedură penală</w:t>
      </w:r>
      <w:r w:rsidR="002D5515" w:rsidRPr="00AA16D7">
        <w:rPr>
          <w:rFonts w:ascii="Trebuchet MS" w:hAnsi="Trebuchet MS" w:cs="Times New Roman"/>
        </w:rPr>
        <w:t>, la expirarea termenelor prevăzute de art. I</w:t>
      </w:r>
      <w:r w:rsidR="00E949BD">
        <w:rPr>
          <w:rFonts w:ascii="Trebuchet MS" w:hAnsi="Trebuchet MS" w:cs="Times New Roman"/>
        </w:rPr>
        <w:t xml:space="preserve"> pct. 1</w:t>
      </w:r>
      <w:r w:rsidR="002D5515" w:rsidRPr="00AA16D7">
        <w:rPr>
          <w:rFonts w:ascii="Trebuchet MS" w:hAnsi="Trebuchet MS" w:cs="Times New Roman"/>
        </w:rPr>
        <w:t xml:space="preserve"> </w:t>
      </w:r>
      <w:r w:rsidR="00A05E04">
        <w:rPr>
          <w:rFonts w:ascii="Trebuchet MS" w:hAnsi="Trebuchet MS" w:cs="Times New Roman"/>
        </w:rPr>
        <w:t>ș</w:t>
      </w:r>
      <w:r w:rsidR="002D5515" w:rsidRPr="00AA16D7">
        <w:rPr>
          <w:rFonts w:ascii="Trebuchet MS" w:hAnsi="Trebuchet MS" w:cs="Times New Roman"/>
        </w:rPr>
        <w:t>i</w:t>
      </w:r>
      <w:r w:rsidR="00C32E12">
        <w:rPr>
          <w:rFonts w:ascii="Trebuchet MS" w:hAnsi="Trebuchet MS" w:cs="Times New Roman"/>
        </w:rPr>
        <w:t xml:space="preserve"> art.</w:t>
      </w:r>
      <w:r w:rsidR="002D5515" w:rsidRPr="00AA16D7">
        <w:rPr>
          <w:rFonts w:ascii="Trebuchet MS" w:hAnsi="Trebuchet MS" w:cs="Times New Roman"/>
        </w:rPr>
        <w:t xml:space="preserve"> II</w:t>
      </w:r>
      <w:r w:rsidR="00F14856">
        <w:rPr>
          <w:rFonts w:ascii="Trebuchet MS" w:hAnsi="Trebuchet MS" w:cs="Times New Roman"/>
        </w:rPr>
        <w:t xml:space="preserve"> </w:t>
      </w:r>
      <w:r w:rsidR="00F14856">
        <w:rPr>
          <w:rFonts w:ascii="Trebuchet MS" w:hAnsi="Trebuchet MS"/>
        </w:rPr>
        <w:t>alin. (1)</w:t>
      </w:r>
      <w:r w:rsidR="002D5515" w:rsidRPr="00AA16D7">
        <w:rPr>
          <w:rFonts w:ascii="Trebuchet MS" w:hAnsi="Trebuchet MS" w:cs="Times New Roman"/>
        </w:rPr>
        <w:t xml:space="preserve"> </w:t>
      </w:r>
      <w:r w:rsidR="00190491" w:rsidRPr="00AA16D7">
        <w:rPr>
          <w:rFonts w:ascii="Trebuchet MS" w:hAnsi="Trebuchet MS" w:cs="Times New Roman"/>
        </w:rPr>
        <w:t>sesizea</w:t>
      </w:r>
      <w:r w:rsidR="00190491">
        <w:rPr>
          <w:rFonts w:ascii="Trebuchet MS" w:hAnsi="Trebuchet MS" w:cs="Times New Roman"/>
        </w:rPr>
        <w:t>ză</w:t>
      </w:r>
      <w:r w:rsidR="002D5515" w:rsidRPr="00AA16D7">
        <w:rPr>
          <w:rFonts w:ascii="Trebuchet MS" w:hAnsi="Trebuchet MS" w:cs="Times New Roman"/>
        </w:rPr>
        <w:t xml:space="preserve"> </w:t>
      </w:r>
      <w:r w:rsidR="00C24CF4" w:rsidRPr="00AA16D7">
        <w:rPr>
          <w:rFonts w:ascii="Trebuchet MS" w:hAnsi="Trebuchet MS" w:cs="Times New Roman"/>
        </w:rPr>
        <w:t>organele</w:t>
      </w:r>
      <w:r w:rsidR="002D5515" w:rsidRPr="00AA16D7">
        <w:rPr>
          <w:rFonts w:ascii="Trebuchet MS" w:hAnsi="Trebuchet MS" w:cs="Times New Roman"/>
        </w:rPr>
        <w:t xml:space="preserve"> de urmărire penală competente să efectueze urmărirea penală cu privire la infrac</w:t>
      </w:r>
      <w:r w:rsidR="00A05E04">
        <w:rPr>
          <w:rFonts w:ascii="Trebuchet MS" w:hAnsi="Trebuchet MS" w:cs="Times New Roman"/>
        </w:rPr>
        <w:t>ț</w:t>
      </w:r>
      <w:r w:rsidR="002D5515" w:rsidRPr="00AA16D7">
        <w:rPr>
          <w:rFonts w:ascii="Trebuchet MS" w:hAnsi="Trebuchet MS" w:cs="Times New Roman"/>
        </w:rPr>
        <w:t>iunile prevăzute de prezenta lege.</w:t>
      </w:r>
    </w:p>
    <w:sectPr w:rsidR="00F82DC0" w:rsidRPr="00AA16D7" w:rsidSect="00A05E04">
      <w:footerReference w:type="default" r:id="rId7"/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8A7FC" w16cex:dateUtc="2022-05-13T06:48:00Z"/>
  <w16cex:commentExtensible w16cex:durableId="262B4C74" w16cex:dateUtc="2022-05-15T06:55:00Z"/>
  <w16cex:commentExtensible w16cex:durableId="262B7910" w16cex:dateUtc="2022-05-13T06:53:00Z"/>
  <w16cex:commentExtensible w16cex:durableId="262B790F" w16cex:dateUtc="2022-05-15T07:10:00Z"/>
  <w16cex:commentExtensible w16cex:durableId="262B7916" w16cex:dateUtc="2022-05-15T10:05:00Z"/>
  <w16cex:commentExtensible w16cex:durableId="262B7E29" w16cex:dateUtc="2022-05-15T10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43CC7" w14:textId="77777777" w:rsidR="00C243FD" w:rsidRDefault="00C243FD" w:rsidP="00FA68B4">
      <w:pPr>
        <w:spacing w:after="0" w:line="240" w:lineRule="auto"/>
      </w:pPr>
      <w:r>
        <w:separator/>
      </w:r>
    </w:p>
  </w:endnote>
  <w:endnote w:type="continuationSeparator" w:id="0">
    <w:p w14:paraId="72848973" w14:textId="77777777" w:rsidR="00C243FD" w:rsidRDefault="00C243FD" w:rsidP="00FA6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33149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CE4AF5" w14:textId="77777777" w:rsidR="006E2237" w:rsidRDefault="006E22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1E662F" w14:textId="77777777" w:rsidR="006E2237" w:rsidRDefault="006E22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AF0B9" w14:textId="77777777" w:rsidR="00C243FD" w:rsidRDefault="00C243FD" w:rsidP="00FA68B4">
      <w:pPr>
        <w:spacing w:after="0" w:line="240" w:lineRule="auto"/>
      </w:pPr>
      <w:r>
        <w:separator/>
      </w:r>
    </w:p>
  </w:footnote>
  <w:footnote w:type="continuationSeparator" w:id="0">
    <w:p w14:paraId="34A3C711" w14:textId="77777777" w:rsidR="00C243FD" w:rsidRDefault="00C243FD" w:rsidP="00FA68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D07"/>
    <w:rsid w:val="00010BA6"/>
    <w:rsid w:val="00014916"/>
    <w:rsid w:val="000556E3"/>
    <w:rsid w:val="00055CA3"/>
    <w:rsid w:val="00077D17"/>
    <w:rsid w:val="00125FDB"/>
    <w:rsid w:val="001311E7"/>
    <w:rsid w:val="00173E4D"/>
    <w:rsid w:val="00190491"/>
    <w:rsid w:val="001F4F35"/>
    <w:rsid w:val="00226F53"/>
    <w:rsid w:val="002402EB"/>
    <w:rsid w:val="0024107F"/>
    <w:rsid w:val="00242570"/>
    <w:rsid w:val="002540D4"/>
    <w:rsid w:val="002D5515"/>
    <w:rsid w:val="002E403E"/>
    <w:rsid w:val="003226C3"/>
    <w:rsid w:val="00325323"/>
    <w:rsid w:val="00331CC8"/>
    <w:rsid w:val="00391565"/>
    <w:rsid w:val="00417F78"/>
    <w:rsid w:val="00423F0D"/>
    <w:rsid w:val="00453D07"/>
    <w:rsid w:val="004948CB"/>
    <w:rsid w:val="004C2A07"/>
    <w:rsid w:val="00503F03"/>
    <w:rsid w:val="005172FF"/>
    <w:rsid w:val="0054558F"/>
    <w:rsid w:val="00606C98"/>
    <w:rsid w:val="006E2237"/>
    <w:rsid w:val="00711C8A"/>
    <w:rsid w:val="00755149"/>
    <w:rsid w:val="00762068"/>
    <w:rsid w:val="007850D0"/>
    <w:rsid w:val="007C4092"/>
    <w:rsid w:val="007E6A2F"/>
    <w:rsid w:val="0080366E"/>
    <w:rsid w:val="00833392"/>
    <w:rsid w:val="00881547"/>
    <w:rsid w:val="008E368D"/>
    <w:rsid w:val="00A05E04"/>
    <w:rsid w:val="00A067A3"/>
    <w:rsid w:val="00A17F40"/>
    <w:rsid w:val="00A227F4"/>
    <w:rsid w:val="00A244B1"/>
    <w:rsid w:val="00AA16D7"/>
    <w:rsid w:val="00AB4DE1"/>
    <w:rsid w:val="00AB6CB7"/>
    <w:rsid w:val="00BA08EB"/>
    <w:rsid w:val="00BA0C09"/>
    <w:rsid w:val="00C243FD"/>
    <w:rsid w:val="00C24CF4"/>
    <w:rsid w:val="00C32E12"/>
    <w:rsid w:val="00C37367"/>
    <w:rsid w:val="00C6276F"/>
    <w:rsid w:val="00CB39AF"/>
    <w:rsid w:val="00CD5A4C"/>
    <w:rsid w:val="00D248D4"/>
    <w:rsid w:val="00D324D0"/>
    <w:rsid w:val="00E949BD"/>
    <w:rsid w:val="00E94E48"/>
    <w:rsid w:val="00F002F8"/>
    <w:rsid w:val="00F14856"/>
    <w:rsid w:val="00F44845"/>
    <w:rsid w:val="00F54C61"/>
    <w:rsid w:val="00F82DC0"/>
    <w:rsid w:val="00FA68B4"/>
    <w:rsid w:val="00FE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BB170"/>
  <w15:chartTrackingRefBased/>
  <w15:docId w15:val="{BA6B03DC-9D89-4058-8E86-306FBED25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A68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68B4"/>
    <w:rPr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FA68B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E2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237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6E2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237"/>
    <w:rPr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A05E04"/>
    <w:rPr>
      <w:color w:val="0000FF"/>
      <w:u w:val="single"/>
    </w:rPr>
  </w:style>
  <w:style w:type="character" w:customStyle="1" w:styleId="l5def1">
    <w:name w:val="l5def1"/>
    <w:basedOn w:val="DefaultParagraphFont"/>
    <w:rsid w:val="00A05E04"/>
    <w:rPr>
      <w:rFonts w:ascii="Arial" w:hAnsi="Arial" w:cs="Arial" w:hint="default"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E4D"/>
    <w:rPr>
      <w:rFonts w:ascii="Segoe UI" w:hAnsi="Segoe UI" w:cs="Segoe UI"/>
      <w:sz w:val="18"/>
      <w:szCs w:val="18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173E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3E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3E4D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E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E4D"/>
    <w:rPr>
      <w:b/>
      <w:bCs/>
      <w:sz w:val="20"/>
      <w:szCs w:val="20"/>
      <w:lang w:val="ro-RO"/>
    </w:rPr>
  </w:style>
  <w:style w:type="paragraph" w:styleId="Revision">
    <w:name w:val="Revision"/>
    <w:hidden/>
    <w:uiPriority w:val="99"/>
    <w:semiHidden/>
    <w:rsid w:val="00A227F4"/>
    <w:pPr>
      <w:spacing w:after="0" w:line="240" w:lineRule="auto"/>
    </w:pPr>
    <w:rPr>
      <w:lang w:val="ro-RO"/>
    </w:rPr>
  </w:style>
  <w:style w:type="paragraph" w:customStyle="1" w:styleId="Default">
    <w:name w:val="Default"/>
    <w:rsid w:val="001F4F3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salnbdy">
    <w:name w:val="s_aln_bdy"/>
    <w:basedOn w:val="DefaultParagraphFont"/>
    <w:rsid w:val="00014916"/>
  </w:style>
  <w:style w:type="paragraph" w:customStyle="1" w:styleId="name-article">
    <w:name w:val="name-article"/>
    <w:basedOn w:val="Normal"/>
    <w:rsid w:val="0001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01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ighlight">
    <w:name w:val="highlight"/>
    <w:basedOn w:val="DefaultParagraphFont"/>
    <w:rsid w:val="00711C8A"/>
  </w:style>
  <w:style w:type="paragraph" w:styleId="ListParagraph">
    <w:name w:val="List Paragraph"/>
    <w:basedOn w:val="Normal"/>
    <w:uiPriority w:val="34"/>
    <w:qFormat/>
    <w:rsid w:val="00F14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2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3779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9100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B1BC0-9CB5-4B0D-AE46-69C36689A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2113</Characters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2022-05-16T10:38:00Z</cp:lastPrinted>
  <dcterms:created xsi:type="dcterms:W3CDTF">2022-05-31T10:54:00Z</dcterms:created>
  <dcterms:modified xsi:type="dcterms:W3CDTF">2022-05-31T10:54:00Z</dcterms:modified>
</cp:coreProperties>
</file>