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9"/>
          <w:szCs w:val="19"/>
        </w:rPr>
      </w:pPr>
    </w:p>
    <w:p>
      <w:pPr>
        <w:pStyle w:val="Heading1"/>
        <w:spacing w:line="240" w:lineRule="auto" w:before="69"/>
        <w:ind w:left="109" w:right="0"/>
        <w:jc w:val="left"/>
        <w:rPr>
          <w:b w:val="0"/>
          <w:bCs w:val="0"/>
        </w:rPr>
      </w:pPr>
      <w:r>
        <w:rPr>
          <w:color w:val="231F20"/>
          <w:spacing w:val="6"/>
        </w:rPr>
        <w:t>DECLARAȚIA</w:t>
      </w:r>
      <w:r>
        <w:rPr>
          <w:color w:val="231F20"/>
          <w:spacing w:val="-1"/>
        </w:rPr>
        <w:t> </w:t>
      </w:r>
      <w:r>
        <w:rPr>
          <w:color w:val="231F20"/>
          <w:spacing w:val="8"/>
        </w:rPr>
        <w:t>JURIULUI</w:t>
      </w:r>
      <w:r>
        <w:rPr>
          <w:b w:val="0"/>
        </w:rPr>
      </w:r>
    </w:p>
    <w:p>
      <w:pPr>
        <w:spacing w:line="240" w:lineRule="auto" w:before="4"/>
        <w:rPr>
          <w:rFonts w:ascii="Arial" w:hAnsi="Arial" w:cs="Arial" w:eastAsia="Arial"/>
          <w:b/>
          <w:bCs/>
          <w:sz w:val="32"/>
          <w:szCs w:val="32"/>
        </w:rPr>
      </w:pPr>
    </w:p>
    <w:p>
      <w:pPr>
        <w:spacing w:line="250" w:lineRule="auto" w:before="0"/>
        <w:ind w:left="104" w:right="36" w:firstLine="0"/>
        <w:jc w:val="left"/>
        <w:rPr>
          <w:rFonts w:ascii="Arial" w:hAnsi="Arial" w:cs="Arial" w:eastAsia="Arial"/>
          <w:sz w:val="24"/>
          <w:szCs w:val="24"/>
        </w:rPr>
      </w:pPr>
      <w:r>
        <w:rPr>
          <w:rFonts w:ascii="Arial" w:hAnsi="Arial"/>
          <w:b/>
          <w:color w:val="231F20"/>
          <w:sz w:val="24"/>
        </w:rPr>
        <w:t>Concursul internațional de soluții pentru PIAȚA</w:t>
      </w:r>
      <w:r>
        <w:rPr>
          <w:rFonts w:ascii="Arial" w:hAnsi="Arial"/>
          <w:b/>
          <w:color w:val="231F20"/>
          <w:spacing w:val="-10"/>
          <w:sz w:val="24"/>
        </w:rPr>
        <w:t> </w:t>
      </w:r>
      <w:r>
        <w:rPr>
          <w:rFonts w:ascii="Arial" w:hAnsi="Arial"/>
          <w:b/>
          <w:color w:val="231F20"/>
          <w:spacing w:val="-4"/>
          <w:sz w:val="24"/>
        </w:rPr>
        <w:t>SFATULUI</w:t>
      </w:r>
      <w:r>
        <w:rPr>
          <w:rFonts w:ascii="Arial" w:hAnsi="Arial"/>
          <w:b/>
          <w:color w:val="231F20"/>
          <w:sz w:val="24"/>
        </w:rPr>
        <w:t> - BRAȘOV CENTRAL</w:t>
      </w:r>
      <w:r>
        <w:rPr>
          <w:rFonts w:ascii="Arial" w:hAnsi="Arial"/>
          <w:b/>
          <w:color w:val="231F20"/>
          <w:spacing w:val="21"/>
          <w:sz w:val="24"/>
        </w:rPr>
        <w:t> </w:t>
      </w:r>
      <w:r>
        <w:rPr>
          <w:rFonts w:ascii="Arial" w:hAnsi="Arial"/>
          <w:b/>
          <w:color w:val="231F20"/>
          <w:sz w:val="24"/>
        </w:rPr>
        <w:t>SQUARE 2022</w:t>
      </w:r>
      <w:r>
        <w:rPr>
          <w:rFonts w:ascii="Arial" w:hAnsi="Arial"/>
          <w:sz w:val="24"/>
        </w:rPr>
      </w:r>
    </w:p>
    <w:p>
      <w:pPr>
        <w:spacing w:line="240" w:lineRule="auto" w:before="1"/>
        <w:rPr>
          <w:rFonts w:ascii="Arial" w:hAnsi="Arial" w:cs="Arial" w:eastAsia="Arial"/>
          <w:b/>
          <w:bCs/>
          <w:sz w:val="25"/>
          <w:szCs w:val="25"/>
        </w:rPr>
      </w:pPr>
    </w:p>
    <w:p>
      <w:pPr>
        <w:spacing w:before="0"/>
        <w:ind w:left="104" w:right="0" w:firstLine="0"/>
        <w:jc w:val="left"/>
        <w:rPr>
          <w:rFonts w:ascii="Arial" w:hAnsi="Arial" w:cs="Arial" w:eastAsia="Arial"/>
          <w:sz w:val="24"/>
          <w:szCs w:val="24"/>
        </w:rPr>
      </w:pPr>
      <w:r>
        <w:rPr>
          <w:rFonts w:ascii="Arial" w:hAnsi="Arial"/>
          <w:b/>
          <w:color w:val="231F20"/>
          <w:sz w:val="24"/>
        </w:rPr>
        <w:t>Despre nevoia de a organiza concursuri dedicate patrimoniului arhitectural și urban</w:t>
      </w:r>
      <w:r>
        <w:rPr>
          <w:rFonts w:ascii="Arial" w:hAnsi="Arial"/>
          <w:sz w:val="24"/>
        </w:rPr>
      </w:r>
    </w:p>
    <w:p>
      <w:pPr>
        <w:spacing w:line="240" w:lineRule="auto" w:before="1"/>
        <w:rPr>
          <w:rFonts w:ascii="Arial" w:hAnsi="Arial" w:cs="Arial" w:eastAsia="Arial"/>
          <w:b/>
          <w:bCs/>
          <w:sz w:val="26"/>
          <w:szCs w:val="26"/>
        </w:rPr>
      </w:pPr>
    </w:p>
    <w:p>
      <w:pPr>
        <w:pStyle w:val="BodyText"/>
        <w:spacing w:line="250" w:lineRule="auto"/>
        <w:ind w:right="115"/>
        <w:jc w:val="left"/>
      </w:pPr>
      <w:r>
        <w:rPr>
          <w:color w:val="231F20"/>
        </w:rPr>
        <w:t>Prea rar se întâmplă în România ca intervențiile dedicate spațiilor publice urbane istorice să aibă la bază soluții rezultate prin concurs, deși există precedente notabile (ne putem aminti, de exemplu, că procesul pietonalizării graduale și amenajării Pieței Unirii din Cluj-Napoca, acum un posibil etalon al recuperării spațiilor publice ale orașelor istorice, a pornit printr-un concurs). Poate că din reținere față de un domeniu specializat, insuficient frecventat și deci puțin cunoscut în detaliile sale profesionale, poate din neînțelegerea suficientă a importanței gesturilor care (re-)modelează spațiile esențiale pentru viața comunităților noastre și care constituie în aceeași măsură oglinzi ale </w:t>
      </w:r>
      <w:r>
        <w:rPr>
          <w:color w:val="231F20"/>
          <w:spacing w:val="-4"/>
        </w:rPr>
        <w:t>lor,</w:t>
      </w:r>
      <w:r>
        <w:rPr>
          <w:color w:val="231F20"/>
        </w:rPr>
        <w:t> ale </w:t>
      </w:r>
      <w:r>
        <w:rPr>
          <w:color w:val="231F20"/>
          <w:spacing w:val="-1"/>
        </w:rPr>
        <w:t>comunităților,</w:t>
      </w:r>
      <w:r>
        <w:rPr>
          <w:color w:val="231F20"/>
        </w:rPr>
        <w:t> nu ne aflăm des în fața unei</w:t>
      </w:r>
      <w:r>
        <w:rPr>
          <w:color w:val="231F20"/>
          <w:spacing w:val="25"/>
        </w:rPr>
        <w:t> </w:t>
      </w:r>
      <w:r>
        <w:rPr>
          <w:color w:val="231F20"/>
        </w:rPr>
        <w:t>asemenea oportunități - de a alege soluția optimă prin competiție. Dar astăzi suntem în</w:t>
      </w:r>
      <w:r>
        <w:rPr>
          <w:color w:val="231F20"/>
        </w:rPr>
        <w:t> această situație, pentru un spațiu atât de valoros și important - Piața Sfatului din Brașov!</w:t>
      </w:r>
      <w:r>
        <w:rPr/>
      </w:r>
    </w:p>
    <w:p>
      <w:pPr>
        <w:spacing w:line="240" w:lineRule="auto" w:before="1"/>
        <w:rPr>
          <w:rFonts w:ascii="Arial" w:hAnsi="Arial" w:cs="Arial" w:eastAsia="Arial"/>
          <w:sz w:val="25"/>
          <w:szCs w:val="25"/>
        </w:rPr>
      </w:pPr>
    </w:p>
    <w:p>
      <w:pPr>
        <w:pStyle w:val="BodyText"/>
        <w:spacing w:line="250" w:lineRule="auto"/>
        <w:ind w:right="115"/>
        <w:jc w:val="left"/>
      </w:pPr>
      <w:r>
        <w:rPr>
          <w:color w:val="231F20"/>
        </w:rPr>
        <w:t>Municipalitatea Brașovului trebuie din acest motiv felicitată și apreciată, pentru că acordă prin demersul despre care vorbim acum patrimoniului cultural și organismului urban atenția și grija pe care le merită și de care au nevoie. Ordinul</w:t>
      </w:r>
      <w:r>
        <w:rPr>
          <w:color w:val="231F20"/>
          <w:spacing w:val="-13"/>
        </w:rPr>
        <w:t> </w:t>
      </w:r>
      <w:r>
        <w:rPr>
          <w:color w:val="231F20"/>
        </w:rPr>
        <w:t>Arhitecților din România trebuie de</w:t>
      </w:r>
      <w:r>
        <w:rPr>
          <w:color w:val="231F20"/>
        </w:rPr>
        <w:t> asemenea felicitat, pentru consecvența cu care a promovat concursurile de arhitectură în întreaga țară, cu rezultate din ce în ce mai relevante.</w:t>
      </w:r>
      <w:r>
        <w:rPr/>
      </w:r>
    </w:p>
    <w:p>
      <w:pPr>
        <w:spacing w:line="240" w:lineRule="auto" w:before="1"/>
        <w:rPr>
          <w:rFonts w:ascii="Arial" w:hAnsi="Arial" w:cs="Arial" w:eastAsia="Arial"/>
          <w:sz w:val="25"/>
          <w:szCs w:val="25"/>
        </w:rPr>
      </w:pPr>
    </w:p>
    <w:p>
      <w:pPr>
        <w:pStyle w:val="BodyText"/>
        <w:spacing w:line="250" w:lineRule="auto"/>
        <w:ind w:right="36"/>
        <w:jc w:val="left"/>
      </w:pPr>
      <w:r>
        <w:rPr>
          <w:color w:val="231F20"/>
        </w:rPr>
        <w:t>Începem prin a aprecia buna fundamentare a concursului pe o cercetare istorico-urbanistică solidă, dar și pe sondarea percepției și aspirațiilor comunității locale și ale celei profesionale. Apreciem în egală măsură buna așezare a concursului la intersecția dintre imperativele prezervării identității și </w:t>
      </w:r>
      <w:r>
        <w:rPr>
          <w:color w:val="231F20"/>
          <w:spacing w:val="-1"/>
        </w:rPr>
        <w:t>identităților,</w:t>
      </w:r>
      <w:r>
        <w:rPr>
          <w:color w:val="231F20"/>
        </w:rPr>
        <w:t> protejării și adecvatei prezentări a patrimoniului cultural,</w:t>
      </w:r>
      <w:r>
        <w:rPr>
          <w:color w:val="231F20"/>
          <w:spacing w:val="21"/>
        </w:rPr>
        <w:t> </w:t>
      </w:r>
      <w:r>
        <w:rPr>
          <w:color w:val="231F20"/>
        </w:rPr>
        <w:t>recuperării calităților spațiului public, regândirii sustenabile a mediului nostru de viață.</w:t>
      </w:r>
      <w:r>
        <w:rPr>
          <w:color w:val="231F20"/>
          <w:spacing w:val="-3"/>
        </w:rPr>
        <w:t> </w:t>
      </w:r>
      <w:r>
        <w:rPr>
          <w:color w:val="231F20"/>
          <w:spacing w:val="-7"/>
        </w:rPr>
        <w:t>Tema</w:t>
      </w:r>
      <w:r>
        <w:rPr>
          <w:color w:val="231F20"/>
          <w:spacing w:val="21"/>
        </w:rPr>
        <w:t> </w:t>
      </w:r>
      <w:r>
        <w:rPr>
          <w:color w:val="231F20"/>
        </w:rPr>
        <w:t>concursului cuprinde astfel, implicit sau explicit, un număr de puncte nevralgice - dacă nu</w:t>
      </w:r>
      <w:r>
        <w:rPr>
          <w:color w:val="231F20"/>
        </w:rPr>
        <w:t> chiar provocări: 1) confruntarea cu tematica patrimoniului cultural urban - înțeles ca textură de valori, manifestate în spațiu și timp - și privit din perspectiva integrării sale în viața orașului; 2) cerința actualizării patrimoniului cultural, în special a celui public, ceea ce poate include și subiecte precum dreptul la cultură și dreptul la patrimoniul cultural; 3) utilizarea democratică a resurselor publice, inclusiv a celor de spațiu și de cultură; 4) gestionarea necesităților funcționale complexe ale orașului contemporan, fără a pierde valorile și semnificațiile istorice ale locului; 5) sustenabilitatea, înțeleasă ca precondiție esențială a oricărui demers de edificare (sau re-edificare).</w:t>
      </w:r>
      <w:r>
        <w:rPr/>
      </w:r>
    </w:p>
    <w:p>
      <w:pPr>
        <w:spacing w:line="240" w:lineRule="auto" w:before="1"/>
        <w:rPr>
          <w:rFonts w:ascii="Arial" w:hAnsi="Arial" w:cs="Arial" w:eastAsia="Arial"/>
          <w:sz w:val="25"/>
          <w:szCs w:val="25"/>
        </w:rPr>
      </w:pPr>
    </w:p>
    <w:p>
      <w:pPr>
        <w:pStyle w:val="BodyText"/>
        <w:spacing w:line="250" w:lineRule="auto"/>
        <w:ind w:right="248"/>
        <w:jc w:val="left"/>
      </w:pPr>
      <w:r>
        <w:rPr>
          <w:color w:val="231F20"/>
        </w:rPr>
        <w:t>Rezolvarea optimă acestor cerințe complexe nu a fost o sarcină simplă pentru participanți și dorim să îi felicităm pentru efortul pe care l-au făcut. Sperăm că astfel de concursuri</w:t>
      </w:r>
      <w:r>
        <w:rPr/>
      </w:r>
    </w:p>
    <w:p>
      <w:pPr>
        <w:pStyle w:val="BodyText"/>
        <w:spacing w:line="250" w:lineRule="auto"/>
        <w:ind w:right="115"/>
        <w:jc w:val="left"/>
      </w:pPr>
      <w:r>
        <w:rPr>
          <w:color w:val="231F20"/>
        </w:rPr>
        <w:t>vor deveni o realitate curentă pentru autorități și ne vor da tuturor noi imbolduri pentru a chestiona permanent felul în care înțelegem și gestionăm patrimoniul cultural și spațiul urban.</w:t>
      </w:r>
      <w:r>
        <w:rPr/>
      </w:r>
    </w:p>
    <w:p>
      <w:pPr>
        <w:spacing w:after="0" w:line="250" w:lineRule="auto"/>
        <w:jc w:val="left"/>
        <w:sectPr>
          <w:headerReference w:type="default" r:id="rId5"/>
          <w:type w:val="continuous"/>
          <w:pgSz w:w="11910" w:h="16840"/>
          <w:pgMar w:header="719" w:top="920" w:bottom="280" w:left="920" w:right="980"/>
        </w:sect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9"/>
        <w:rPr>
          <w:rFonts w:ascii="Arial" w:hAnsi="Arial" w:cs="Arial" w:eastAsia="Arial"/>
          <w:sz w:val="19"/>
          <w:szCs w:val="19"/>
        </w:rPr>
      </w:pPr>
    </w:p>
    <w:p>
      <w:pPr>
        <w:pStyle w:val="BodyText"/>
        <w:spacing w:line="250" w:lineRule="auto" w:before="69"/>
        <w:ind w:right="355"/>
        <w:jc w:val="left"/>
      </w:pPr>
      <w:r>
        <w:rPr>
          <w:color w:val="231F20"/>
        </w:rPr>
        <w:t>Pe noi, membrii juriului, concursul ne-a confruntat cu responsabilitatea față de oraș, față de comunitate, față de patrimoniul cultural: adică față de calitatea mediului construit, ceea ce, de altfel constituie unul dintre punctele focale ale politicii publice astăzi în Uniunea Europeană, indicat cu termenul german </w:t>
      </w:r>
      <w:r>
        <w:rPr>
          <w:color w:val="231F20"/>
          <w:spacing w:val="-2"/>
        </w:rPr>
        <w:t>Baukultur.</w:t>
      </w:r>
      <w:r>
        <w:rPr>
          <w:color w:val="231F20"/>
        </w:rPr>
        <w:t> Nu facem prin acest concurs decât să</w:t>
      </w:r>
      <w:r>
        <w:rPr>
          <w:color w:val="231F20"/>
          <w:spacing w:val="27"/>
        </w:rPr>
        <w:t> </w:t>
      </w:r>
      <w:r>
        <w:rPr>
          <w:color w:val="231F20"/>
        </w:rPr>
        <w:t>ne racordăm la o reflecție largă, internațională, cât și să oferim posibile răspunsuri - prin</w:t>
      </w:r>
      <w:r>
        <w:rPr>
          <w:color w:val="231F20"/>
        </w:rPr>
        <w:t> proiectele premiate astăzi.</w:t>
      </w:r>
      <w:r>
        <w:rPr/>
      </w:r>
    </w:p>
    <w:p>
      <w:pPr>
        <w:spacing w:line="240" w:lineRule="auto" w:before="1"/>
        <w:rPr>
          <w:rFonts w:ascii="Arial" w:hAnsi="Arial" w:cs="Arial" w:eastAsia="Arial"/>
          <w:sz w:val="25"/>
          <w:szCs w:val="25"/>
        </w:rPr>
      </w:pPr>
    </w:p>
    <w:p>
      <w:pPr>
        <w:pStyle w:val="BodyText"/>
        <w:spacing w:line="250" w:lineRule="auto"/>
        <w:ind w:right="227"/>
        <w:jc w:val="both"/>
      </w:pPr>
      <w:r>
        <w:rPr>
          <w:color w:val="231F20"/>
        </w:rPr>
        <w:t>Abordările proiectelor participante variază de la conservare (cu nuanțe și semnificații mixte, cum ar fi valorizarea expresiilor arhitecturale ale trecutului recent sau economia de resurse și durabilitate în general), la regenerare și - am putea spune - la reinventare. Juriul a trebuit să evalueze atent aceste diferite abordări și a identificat un număr de proiecte care au oferit</w:t>
      </w:r>
      <w:r>
        <w:rPr/>
      </w:r>
    </w:p>
    <w:p>
      <w:pPr>
        <w:pStyle w:val="BodyText"/>
        <w:spacing w:line="250" w:lineRule="auto"/>
        <w:ind w:right="0"/>
        <w:jc w:val="left"/>
      </w:pPr>
      <w:r>
        <w:rPr>
          <w:color w:val="231F20"/>
        </w:rPr>
        <w:t>răspunsuri convingătoare - deși radical diferite - la acest mix de solicitări. Dintre ele, trei sunt cele care au prezentat soluții optime, cu abordări valabile și puternice și cu detalii rafinate - chiar dacă perfectibile.</w:t>
      </w:r>
      <w:r>
        <w:rPr/>
      </w:r>
    </w:p>
    <w:p>
      <w:pPr>
        <w:spacing w:line="240" w:lineRule="auto" w:before="1"/>
        <w:rPr>
          <w:rFonts w:ascii="Arial" w:hAnsi="Arial" w:cs="Arial" w:eastAsia="Arial"/>
          <w:sz w:val="25"/>
          <w:szCs w:val="25"/>
        </w:rPr>
      </w:pPr>
    </w:p>
    <w:p>
      <w:pPr>
        <w:pStyle w:val="BodyText"/>
        <w:spacing w:line="250" w:lineRule="auto"/>
        <w:ind w:right="100"/>
        <w:jc w:val="left"/>
      </w:pPr>
      <w:r>
        <w:rPr>
          <w:color w:val="231F20"/>
        </w:rPr>
        <w:t>Prin tema de proiect, autorii au fost încurajați să ia în considerare sustenabilitatea propunerii și să aibă o poziție atât față de amenajarea existentă, cât și față de gestul arhitectural pe care îl propun generațiilor viitoare. Însă, abordările diverse au mers rareori mai departe</w:t>
      </w:r>
      <w:r>
        <w:rPr/>
      </w:r>
    </w:p>
    <w:p>
      <w:pPr>
        <w:pStyle w:val="BodyText"/>
        <w:spacing w:line="250" w:lineRule="auto"/>
        <w:ind w:right="435"/>
        <w:jc w:val="left"/>
      </w:pPr>
      <w:r>
        <w:rPr>
          <w:color w:val="231F20"/>
        </w:rPr>
        <w:t>de refolosirea materialelor de construcții existente pe sit, în formule mai mult sau mai puțin fezabile, sau de păstrarea teraselor existente. Cu încurajarea profesioniștilor și sub</w:t>
      </w:r>
      <w:r>
        <w:rPr/>
      </w:r>
    </w:p>
    <w:p>
      <w:pPr>
        <w:pStyle w:val="BodyText"/>
        <w:spacing w:line="250" w:lineRule="auto"/>
        <w:ind w:right="100"/>
        <w:jc w:val="left"/>
      </w:pPr>
      <w:r>
        <w:rPr>
          <w:color w:val="231F20"/>
        </w:rPr>
        <w:t>imperativele situației contemporane, sustenabilitatea ar trebui să capete locul său central în definirea oricărui gest arhitectural.</w:t>
      </w:r>
      <w:r>
        <w:rPr/>
      </w:r>
    </w:p>
    <w:p>
      <w:pPr>
        <w:spacing w:line="240" w:lineRule="auto" w:before="0"/>
        <w:rPr>
          <w:rFonts w:ascii="Arial" w:hAnsi="Arial" w:cs="Arial" w:eastAsia="Arial"/>
          <w:sz w:val="24"/>
          <w:szCs w:val="24"/>
        </w:rPr>
      </w:pPr>
    </w:p>
    <w:p>
      <w:pPr>
        <w:spacing w:line="240" w:lineRule="auto" w:before="1"/>
        <w:rPr>
          <w:rFonts w:ascii="Arial" w:hAnsi="Arial" w:cs="Arial" w:eastAsia="Arial"/>
          <w:sz w:val="26"/>
          <w:szCs w:val="26"/>
        </w:rPr>
      </w:pPr>
    </w:p>
    <w:p>
      <w:pPr>
        <w:pStyle w:val="Heading1"/>
        <w:spacing w:line="240" w:lineRule="auto"/>
        <w:ind w:right="0"/>
        <w:jc w:val="left"/>
        <w:rPr>
          <w:b w:val="0"/>
          <w:bCs w:val="0"/>
        </w:rPr>
      </w:pPr>
      <w:r>
        <w:rPr>
          <w:color w:val="231F20"/>
        </w:rPr>
        <w:t>Calități exprimate de proiectele câștigătoare</w:t>
      </w:r>
      <w:r>
        <w:rPr>
          <w:b w:val="0"/>
        </w:rPr>
      </w:r>
    </w:p>
    <w:p>
      <w:pPr>
        <w:spacing w:line="240" w:lineRule="auto" w:before="1"/>
        <w:rPr>
          <w:rFonts w:ascii="Arial" w:hAnsi="Arial" w:cs="Arial" w:eastAsia="Arial"/>
          <w:b/>
          <w:bCs/>
          <w:sz w:val="26"/>
          <w:szCs w:val="26"/>
        </w:rPr>
      </w:pPr>
    </w:p>
    <w:p>
      <w:pPr>
        <w:pStyle w:val="BodyText"/>
        <w:spacing w:line="250" w:lineRule="auto"/>
        <w:ind w:right="334"/>
        <w:jc w:val="left"/>
      </w:pPr>
      <w:r>
        <w:rPr>
          <w:rFonts w:ascii="Arial" w:hAnsi="Arial"/>
          <w:b/>
          <w:color w:val="231F20"/>
        </w:rPr>
        <w:t>Fundamentarea prin studiu:</w:t>
      </w:r>
      <w:r>
        <w:rPr>
          <w:rFonts w:ascii="Arial" w:hAnsi="Arial"/>
          <w:b/>
          <w:color w:val="231F20"/>
          <w:spacing w:val="-1"/>
        </w:rPr>
        <w:t> </w:t>
      </w:r>
      <w:r>
        <w:rPr>
          <w:color w:val="231F20"/>
        </w:rPr>
        <w:t>Este de apreciat profunzimea studiului care fundamentează</w:t>
      </w:r>
      <w:r>
        <w:rPr>
          <w:color w:val="231F20"/>
        </w:rPr>
        <w:t> atât atitudinea generală, cât și deciziile de proiectare exprimate de fiecare dintre proiectele premiate.</w:t>
      </w:r>
      <w:r>
        <w:rPr>
          <w:color w:val="231F20"/>
          <w:spacing w:val="-14"/>
        </w:rPr>
        <w:t> </w:t>
      </w:r>
      <w:r>
        <w:rPr>
          <w:color w:val="231F20"/>
        </w:rPr>
        <w:t>Autorii acestora au adăugat cercetării inițiale care face parte din documentația</w:t>
      </w:r>
      <w:r>
        <w:rPr>
          <w:color w:val="231F20"/>
        </w:rPr>
        <w:t> de concurs propria lor cercetare, aprofundată sau orientată în moduri diferite, neignorând</w:t>
      </w:r>
      <w:r>
        <w:rPr/>
      </w:r>
    </w:p>
    <w:p>
      <w:pPr>
        <w:pStyle w:val="BodyText"/>
        <w:spacing w:line="250" w:lineRule="auto"/>
        <w:ind w:right="254"/>
        <w:jc w:val="both"/>
      </w:pPr>
      <w:r>
        <w:rPr>
          <w:color w:val="231F20"/>
        </w:rPr>
        <w:t>studiul </w:t>
      </w:r>
      <w:r>
        <w:rPr>
          <w:color w:val="231F20"/>
          <w:spacing w:val="-2"/>
        </w:rPr>
        <w:t>arhivelor,</w:t>
      </w:r>
      <w:r>
        <w:rPr>
          <w:color w:val="231F20"/>
        </w:rPr>
        <w:t> al documentelor iconografice, al celor topografice și cadastrale, al surselor</w:t>
      </w:r>
      <w:r>
        <w:rPr>
          <w:color w:val="231F20"/>
          <w:spacing w:val="27"/>
        </w:rPr>
        <w:t> </w:t>
      </w:r>
      <w:r>
        <w:rPr>
          <w:color w:val="231F20"/>
        </w:rPr>
        <w:t>istorice și literare, dar și - mai ales, nelipsit - studiul țesutului construit istoric, care este atât</w:t>
      </w:r>
      <w:r>
        <w:rPr>
          <w:color w:val="231F20"/>
        </w:rPr>
        <w:t> materialul cât și cadrul intervențiilor propuse.</w:t>
      </w:r>
      <w:r>
        <w:rPr/>
      </w:r>
    </w:p>
    <w:p>
      <w:pPr>
        <w:spacing w:line="240" w:lineRule="auto" w:before="1"/>
        <w:rPr>
          <w:rFonts w:ascii="Arial" w:hAnsi="Arial" w:cs="Arial" w:eastAsia="Arial"/>
          <w:sz w:val="25"/>
          <w:szCs w:val="25"/>
        </w:rPr>
      </w:pPr>
    </w:p>
    <w:p>
      <w:pPr>
        <w:pStyle w:val="BodyText"/>
        <w:spacing w:line="250" w:lineRule="auto"/>
        <w:ind w:right="168"/>
        <w:jc w:val="left"/>
      </w:pPr>
      <w:r>
        <w:rPr>
          <w:rFonts w:ascii="Arial" w:hAnsi="Arial"/>
          <w:b/>
          <w:color w:val="231F20"/>
        </w:rPr>
        <w:t>Poziționarea critică:</w:t>
      </w:r>
      <w:r>
        <w:rPr>
          <w:rFonts w:ascii="Arial" w:hAnsi="Arial"/>
          <w:b/>
          <w:color w:val="231F20"/>
          <w:spacing w:val="-5"/>
        </w:rPr>
        <w:t> </w:t>
      </w:r>
      <w:r>
        <w:rPr>
          <w:color w:val="231F20"/>
          <w:spacing w:val="-27"/>
        </w:rPr>
        <w:t>T</w:t>
      </w:r>
      <w:r>
        <w:rPr>
          <w:color w:val="231F20"/>
        </w:rPr>
        <w:t>oate proiectele propun, pe baza propriilor grile de evaluare, o</w:t>
      </w:r>
      <w:r>
        <w:rPr>
          <w:color w:val="231F20"/>
        </w:rPr>
        <w:t> poziționare critică față de situația existentă, exprimată prin gesturi asumate, valoroase. Astfel evită riscul unor abordări aseptice - corecte, dar reductive - care prezintă nediferențiat și nevalorizat ceea ce ne oferă astăzi patrimoniul arhitectural și urbanistic al orașului. În</w:t>
      </w:r>
      <w:r>
        <w:rPr/>
      </w:r>
    </w:p>
    <w:p>
      <w:pPr>
        <w:pStyle w:val="BodyText"/>
        <w:spacing w:line="250" w:lineRule="auto"/>
        <w:ind w:right="0"/>
        <w:jc w:val="left"/>
      </w:pPr>
      <w:r>
        <w:rPr>
          <w:color w:val="231F20"/>
        </w:rPr>
        <w:t>mod </w:t>
      </w:r>
      <w:r>
        <w:rPr>
          <w:color w:val="231F20"/>
          <w:spacing w:val="-2"/>
        </w:rPr>
        <w:t>particular,</w:t>
      </w:r>
      <w:r>
        <w:rPr>
          <w:color w:val="231F20"/>
        </w:rPr>
        <w:t> autorii proiectelor în discuție și-au asumat poziții foarte clare referitoare la</w:t>
      </w:r>
      <w:r>
        <w:rPr>
          <w:color w:val="231F20"/>
          <w:spacing w:val="29"/>
        </w:rPr>
        <w:t> </w:t>
      </w:r>
      <w:r>
        <w:rPr>
          <w:color w:val="231F20"/>
        </w:rPr>
        <w:t>problematica propusă prin concurs - tratarea stratului istoric recent al sitului, intervenția care</w:t>
      </w:r>
      <w:r>
        <w:rPr>
          <w:color w:val="231F20"/>
        </w:rPr>
        <w:t> datează din ultima decadă comunistă; generarea de locuri și oportunități pentru activități diverse; dezvoltarea spațiului public; interacțiunea profundă cu valorile sitului.</w:t>
      </w:r>
      <w:r>
        <w:rPr/>
      </w:r>
    </w:p>
    <w:p>
      <w:pPr>
        <w:spacing w:line="240" w:lineRule="auto" w:before="1"/>
        <w:rPr>
          <w:rFonts w:ascii="Arial" w:hAnsi="Arial" w:cs="Arial" w:eastAsia="Arial"/>
          <w:sz w:val="25"/>
          <w:szCs w:val="25"/>
        </w:rPr>
      </w:pPr>
    </w:p>
    <w:p>
      <w:pPr>
        <w:spacing w:line="250" w:lineRule="auto" w:before="0"/>
        <w:ind w:left="104" w:right="0" w:firstLine="0"/>
        <w:jc w:val="left"/>
        <w:rPr>
          <w:rFonts w:ascii="Arial" w:hAnsi="Arial" w:cs="Arial" w:eastAsia="Arial"/>
          <w:sz w:val="24"/>
          <w:szCs w:val="24"/>
        </w:rPr>
      </w:pPr>
      <w:r>
        <w:rPr>
          <w:rFonts w:ascii="Arial" w:hAnsi="Arial"/>
          <w:b/>
          <w:color w:val="231F20"/>
          <w:spacing w:val="-5"/>
          <w:sz w:val="24"/>
        </w:rPr>
        <w:t>V</w:t>
      </w:r>
      <w:r>
        <w:rPr>
          <w:rFonts w:ascii="Arial" w:hAnsi="Arial"/>
          <w:b/>
          <w:color w:val="231F20"/>
          <w:sz w:val="24"/>
        </w:rPr>
        <w:t>iziunea direcționată către calitatea vieții urbane:</w:t>
      </w:r>
      <w:r>
        <w:rPr>
          <w:rFonts w:ascii="Arial" w:hAnsi="Arial"/>
          <w:b/>
          <w:color w:val="231F20"/>
          <w:spacing w:val="-5"/>
          <w:sz w:val="24"/>
        </w:rPr>
        <w:t> </w:t>
      </w:r>
      <w:r>
        <w:rPr>
          <w:rFonts w:ascii="Arial" w:hAnsi="Arial"/>
          <w:color w:val="231F20"/>
          <w:spacing w:val="-27"/>
          <w:sz w:val="24"/>
        </w:rPr>
        <w:t>T</w:t>
      </w:r>
      <w:r>
        <w:rPr>
          <w:rFonts w:ascii="Arial" w:hAnsi="Arial"/>
          <w:color w:val="231F20"/>
          <w:sz w:val="24"/>
        </w:rPr>
        <w:t>oate proiectele câștigătoare exprimă -</w:t>
      </w:r>
      <w:r>
        <w:rPr>
          <w:rFonts w:ascii="Arial" w:hAnsi="Arial"/>
          <w:color w:val="231F20"/>
          <w:sz w:val="24"/>
        </w:rPr>
        <w:t> fiecare altfel - o viziune clară și valoroasă asupra creșterii calității vieții în spațiul urban al</w:t>
      </w:r>
      <w:r>
        <w:rPr>
          <w:rFonts w:ascii="Arial" w:hAnsi="Arial"/>
          <w:sz w:val="24"/>
        </w:rPr>
      </w:r>
    </w:p>
    <w:p>
      <w:pPr>
        <w:spacing w:after="0" w:line="250" w:lineRule="auto"/>
        <w:jc w:val="left"/>
        <w:rPr>
          <w:rFonts w:ascii="Arial" w:hAnsi="Arial" w:cs="Arial" w:eastAsia="Arial"/>
          <w:sz w:val="24"/>
          <w:szCs w:val="24"/>
        </w:rPr>
        <w:sectPr>
          <w:pgSz w:w="11910" w:h="16840"/>
          <w:pgMar w:header="719" w:footer="0" w:top="920" w:bottom="280" w:left="920" w:right="940"/>
        </w:sect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9"/>
        <w:rPr>
          <w:rFonts w:ascii="Arial" w:hAnsi="Arial" w:cs="Arial" w:eastAsia="Arial"/>
          <w:sz w:val="19"/>
          <w:szCs w:val="19"/>
        </w:rPr>
      </w:pPr>
    </w:p>
    <w:p>
      <w:pPr>
        <w:pStyle w:val="BodyText"/>
        <w:spacing w:line="312" w:lineRule="auto" w:before="69"/>
        <w:ind w:right="214"/>
        <w:jc w:val="left"/>
      </w:pPr>
      <w:r>
        <w:rPr>
          <w:color w:val="231F20"/>
        </w:rPr>
        <w:t>Pieței Sfatului. Fie prin generarea de spații bine individualizate, dar integrate în ansamblul pieței, fie prin gestionarea atentă și adaptată a interfeței între spațiul pieței și funcțiunile publice și private adiacente, fie prin utilizarea eficientă a referințelor istorice, proiectele câștigătoare dau noi valori acestui nucleu urban major la Brașovului, Piața Sfatului.</w:t>
      </w:r>
      <w:r>
        <w:rPr/>
      </w:r>
    </w:p>
    <w:p>
      <w:pPr>
        <w:spacing w:line="240" w:lineRule="auto" w:before="3"/>
        <w:rPr>
          <w:rFonts w:ascii="Arial" w:hAnsi="Arial" w:cs="Arial" w:eastAsia="Arial"/>
          <w:sz w:val="25"/>
          <w:szCs w:val="25"/>
        </w:rPr>
      </w:pPr>
    </w:p>
    <w:p>
      <w:pPr>
        <w:pStyle w:val="BodyText"/>
        <w:spacing w:line="250" w:lineRule="auto"/>
        <w:ind w:right="109"/>
        <w:jc w:val="left"/>
      </w:pPr>
      <w:r>
        <w:rPr>
          <w:rFonts w:ascii="Arial" w:hAnsi="Arial"/>
          <w:b/>
          <w:color w:val="231F20"/>
        </w:rPr>
        <w:t>Creativitatea: </w:t>
      </w:r>
      <w:r>
        <w:rPr>
          <w:color w:val="231F20"/>
        </w:rPr>
        <w:t>Într-o continuare fericită cu aspectele anterior menționate, autorii proiectelor</w:t>
      </w:r>
      <w:r>
        <w:rPr>
          <w:color w:val="231F20"/>
        </w:rPr>
        <w:t> câștigătoare au găsit modul potrivit, în fiecare caz în parte, pentru a-și asuma prin gesturi creative rolul profesional. Fiecare proiect exprimă idei și dezvoltă gesturi creative coerente și puternice, dar în același timp așezate într-un echilibru bine ales și controlat cu contextul construit istoric.</w:t>
      </w:r>
      <w:r>
        <w:rPr/>
      </w:r>
    </w:p>
    <w:p>
      <w:pPr>
        <w:spacing w:line="240" w:lineRule="auto" w:before="1"/>
        <w:rPr>
          <w:rFonts w:ascii="Arial" w:hAnsi="Arial" w:cs="Arial" w:eastAsia="Arial"/>
          <w:sz w:val="25"/>
          <w:szCs w:val="25"/>
        </w:rPr>
      </w:pPr>
    </w:p>
    <w:p>
      <w:pPr>
        <w:spacing w:line="250" w:lineRule="auto" w:before="0"/>
        <w:ind w:left="104" w:right="440" w:firstLine="0"/>
        <w:jc w:val="left"/>
        <w:rPr>
          <w:rFonts w:ascii="Arial" w:hAnsi="Arial" w:cs="Arial" w:eastAsia="Arial"/>
          <w:sz w:val="24"/>
          <w:szCs w:val="24"/>
        </w:rPr>
      </w:pPr>
      <w:r>
        <w:rPr>
          <w:rFonts w:ascii="Arial" w:hAnsi="Arial"/>
          <w:b/>
          <w:color w:val="231F20"/>
          <w:sz w:val="24"/>
        </w:rPr>
        <w:t>O bună capacitate de a integra cerințe și elemente suplimentare:</w:t>
      </w:r>
      <w:r>
        <w:rPr>
          <w:rFonts w:ascii="Arial" w:hAnsi="Arial"/>
          <w:b/>
          <w:color w:val="231F20"/>
          <w:spacing w:val="-1"/>
          <w:sz w:val="24"/>
        </w:rPr>
        <w:t> </w:t>
      </w:r>
      <w:r>
        <w:rPr>
          <w:rFonts w:ascii="Arial" w:hAnsi="Arial"/>
          <w:color w:val="231F20"/>
          <w:spacing w:val="-27"/>
          <w:sz w:val="24"/>
        </w:rPr>
        <w:t>T</w:t>
      </w:r>
      <w:r>
        <w:rPr>
          <w:rFonts w:ascii="Arial" w:hAnsi="Arial"/>
          <w:color w:val="231F20"/>
          <w:sz w:val="24"/>
        </w:rPr>
        <w:t>oate proiectele</w:t>
      </w:r>
      <w:r>
        <w:rPr>
          <w:rFonts w:ascii="Arial" w:hAnsi="Arial"/>
          <w:color w:val="231F20"/>
          <w:sz w:val="24"/>
        </w:rPr>
        <w:t> premiate demonstrează o bună capacitate de adaptare la cerințe viitoare și de integrare a unor elemente suplimentare, cum ar fi anticipatele vestigii ale cercetării și săpăturilor arheologice.</w:t>
      </w:r>
      <w:r>
        <w:rPr>
          <w:rFonts w:ascii="Arial" w:hAnsi="Arial"/>
          <w:sz w:val="24"/>
        </w:rPr>
      </w:r>
    </w:p>
    <w:sectPr>
      <w:pgSz w:w="11910" w:h="16840"/>
      <w:pgMar w:header="719" w:footer="0" w:top="920" w:bottom="280" w:left="9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 Book">
    <w:altName w:val="Gotham Book"/>
    <w:charset w:val="0"/>
    <w:family w:val="modern"/>
    <w:pitch w:val="variable"/>
  </w:font>
  <w:font w:name="Gotham Bold">
    <w:altName w:val="Gotham Bold"/>
    <w:charset w:val="0"/>
    <w:family w:val="moder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0.243pt;margin-top:34.971035pt;width:470.95pt;height:12.3pt;mso-position-horizontal-relative:page;mso-position-vertical-relative:page;z-index:-3400" type="#_x0000_t202" filled="false" stroked="false">
          <v:textbox inset="0,0,0,0">
            <w:txbxContent>
              <w:p>
                <w:pPr>
                  <w:spacing w:line="229" w:lineRule="exact" w:before="0"/>
                  <w:ind w:left="20" w:right="0" w:firstLine="0"/>
                  <w:jc w:val="left"/>
                  <w:rPr>
                    <w:rFonts w:ascii="Gotham Book" w:hAnsi="Gotham Book" w:cs="Gotham Book" w:eastAsia="Gotham Book"/>
                    <w:sz w:val="20"/>
                    <w:szCs w:val="20"/>
                  </w:rPr>
                </w:pPr>
                <w:r>
                  <w:rPr>
                    <w:rFonts w:ascii="Gotham Book" w:hAnsi="Gotham Book"/>
                    <w:b w:val="0"/>
                    <w:color w:val="231F20"/>
                    <w:spacing w:val="-2"/>
                    <w:sz w:val="20"/>
                  </w:rPr>
                  <w:t>INTERNATIONAL</w:t>
                </w:r>
                <w:r>
                  <w:rPr>
                    <w:rFonts w:ascii="Gotham Book" w:hAnsi="Gotham Book"/>
                    <w:b w:val="0"/>
                    <w:color w:val="231F20"/>
                    <w:spacing w:val="-17"/>
                    <w:sz w:val="20"/>
                  </w:rPr>
                  <w:t> </w:t>
                </w:r>
                <w:r>
                  <w:rPr>
                    <w:rFonts w:ascii="Gotham Book" w:hAnsi="Gotham Book"/>
                    <w:b w:val="0"/>
                    <w:color w:val="231F20"/>
                    <w:sz w:val="20"/>
                  </w:rPr>
                  <w:t>DESIGN</w:t>
                </w:r>
                <w:r>
                  <w:rPr>
                    <w:rFonts w:ascii="Gotham Book" w:hAnsi="Gotham Book"/>
                    <w:b w:val="0"/>
                    <w:color w:val="231F20"/>
                    <w:spacing w:val="-17"/>
                    <w:sz w:val="20"/>
                  </w:rPr>
                  <w:t> </w:t>
                </w:r>
                <w:r>
                  <w:rPr>
                    <w:rFonts w:ascii="Gotham Book" w:hAnsi="Gotham Book"/>
                    <w:b w:val="0"/>
                    <w:color w:val="231F20"/>
                    <w:spacing w:val="-1"/>
                    <w:sz w:val="20"/>
                  </w:rPr>
                  <w:t>COMPETITION</w:t>
                </w:r>
                <w:r>
                  <w:rPr>
                    <w:rFonts w:ascii="Gotham Book" w:hAnsi="Gotham Book"/>
                    <w:b w:val="0"/>
                    <w:color w:val="231F20"/>
                    <w:spacing w:val="-17"/>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ld" w:hAnsi="Gotham Bold"/>
                    <w:b/>
                    <w:color w:val="231F20"/>
                    <w:spacing w:val="-9"/>
                    <w:sz w:val="20"/>
                  </w:rPr>
                  <w:t>PIATA</w:t>
                </w:r>
                <w:r>
                  <w:rPr>
                    <w:rFonts w:ascii="Gotham Bold" w:hAnsi="Gotham Bold"/>
                    <w:b/>
                    <w:color w:val="231F20"/>
                    <w:spacing w:val="-23"/>
                    <w:sz w:val="20"/>
                  </w:rPr>
                  <w:t> </w:t>
                </w:r>
                <w:r>
                  <w:rPr>
                    <w:rFonts w:ascii="Gotham Bold" w:hAnsi="Gotham Bold"/>
                    <w:b/>
                    <w:color w:val="231F20"/>
                    <w:spacing w:val="-6"/>
                    <w:sz w:val="20"/>
                  </w:rPr>
                  <w:t>SFATULUI</w:t>
                </w:r>
                <w:r>
                  <w:rPr>
                    <w:rFonts w:ascii="Gotham Bold" w:hAnsi="Gotham Bold"/>
                    <w:b/>
                    <w:color w:val="231F20"/>
                    <w:spacing w:val="-22"/>
                    <w:sz w:val="20"/>
                  </w:rPr>
                  <w:t> </w:t>
                </w:r>
                <w:r>
                  <w:rPr>
                    <w:rFonts w:ascii="Gotham Bold" w:hAnsi="Gotham Bold"/>
                    <w:b/>
                    <w:color w:val="231F20"/>
                    <w:spacing w:val="-3"/>
                    <w:sz w:val="20"/>
                  </w:rPr>
                  <w:t>BRAȘOV</w:t>
                </w:r>
                <w:r>
                  <w:rPr>
                    <w:rFonts w:ascii="Gotham Bold" w:hAnsi="Gotham Bold"/>
                    <w:b/>
                    <w:color w:val="231F20"/>
                    <w:spacing w:val="-23"/>
                    <w:sz w:val="20"/>
                  </w:rPr>
                  <w:t> </w:t>
                </w:r>
                <w:r>
                  <w:rPr>
                    <w:rFonts w:ascii="Gotham Bold" w:hAnsi="Gotham Bold"/>
                    <w:b/>
                    <w:color w:val="231F20"/>
                    <w:sz w:val="20"/>
                  </w:rPr>
                  <w:t>CENTRAL</w:t>
                </w:r>
                <w:r>
                  <w:rPr>
                    <w:rFonts w:ascii="Gotham Bold" w:hAnsi="Gotham Bold"/>
                    <w:b/>
                    <w:color w:val="231F20"/>
                    <w:spacing w:val="-23"/>
                    <w:sz w:val="20"/>
                  </w:rPr>
                  <w:t> </w:t>
                </w:r>
                <w:r>
                  <w:rPr>
                    <w:rFonts w:ascii="Gotham Bold" w:hAnsi="Gotham Bold"/>
                    <w:b/>
                    <w:color w:val="231F20"/>
                    <w:spacing w:val="-2"/>
                    <w:sz w:val="20"/>
                  </w:rPr>
                  <w:t>SQUARE</w:t>
                </w:r>
                <w:r>
                  <w:rPr>
                    <w:rFonts w:ascii="Gotham Bold" w:hAnsi="Gotham Bold"/>
                    <w:b/>
                    <w:color w:val="231F20"/>
                    <w:spacing w:val="-22"/>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ok" w:hAnsi="Gotham Book"/>
                    <w:b w:val="0"/>
                    <w:color w:val="231F20"/>
                    <w:sz w:val="20"/>
                  </w:rPr>
                  <w:t>RO</w:t>
                </w:r>
                <w:r>
                  <w:rPr>
                    <w:rFonts w:ascii="Gotham Book" w:hAnsi="Gotham Book"/>
                    <w:sz w:val="20"/>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4"/>
    </w:pPr>
    <w:rPr>
      <w:rFonts w:ascii="Arial" w:hAnsi="Arial" w:eastAsia="Arial"/>
      <w:sz w:val="24"/>
      <w:szCs w:val="24"/>
    </w:rPr>
  </w:style>
  <w:style w:styleId="Heading1" w:type="paragraph">
    <w:name w:val="Heading 1"/>
    <w:basedOn w:val="Normal"/>
    <w:uiPriority w:val="1"/>
    <w:qFormat/>
    <w:pPr>
      <w:ind w:left="104"/>
      <w:outlineLvl w:val="1"/>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2022-04-11T13:34:37Z</dcterms:created>
  <dcterms:modified xsi:type="dcterms:W3CDTF">2022-04-11T13:34:37Z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LastSaved">
    <vt:filetime>2022-04-11T00:00:00Z</vt:filetime>
  </property>
</Properties>
</file>