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104" w:right="0" w:firstLine="0"/>
        <w:jc w:val="left"/>
        <w:rPr>
          <w:rFonts w:ascii="Gotham Book" w:hAnsi="Gotham Book" w:cs="Gotham Book" w:eastAsia="Gotham Book"/>
          <w:sz w:val="20"/>
          <w:szCs w:val="20"/>
        </w:rPr>
      </w:pPr>
      <w:r>
        <w:rPr>
          <w:rFonts w:ascii="Gotham Book" w:hAnsi="Gotham Book"/>
          <w:b w:val="0"/>
          <w:color w:val="231F20"/>
          <w:spacing w:val="-2"/>
          <w:sz w:val="20"/>
        </w:rPr>
        <w:t>INTERNATIONAL</w:t>
      </w:r>
      <w:r>
        <w:rPr>
          <w:rFonts w:ascii="Gotham Book" w:hAnsi="Gotham Book"/>
          <w:b w:val="0"/>
          <w:color w:val="231F20"/>
          <w:spacing w:val="-17"/>
          <w:sz w:val="20"/>
        </w:rPr>
        <w:t> </w:t>
      </w:r>
      <w:r>
        <w:rPr>
          <w:rFonts w:ascii="Gotham Book" w:hAnsi="Gotham Book"/>
          <w:b w:val="0"/>
          <w:color w:val="231F20"/>
          <w:sz w:val="20"/>
        </w:rPr>
        <w:t>DESIGN</w:t>
      </w:r>
      <w:r>
        <w:rPr>
          <w:rFonts w:ascii="Gotham Book" w:hAnsi="Gotham Book"/>
          <w:b w:val="0"/>
          <w:color w:val="231F20"/>
          <w:spacing w:val="-17"/>
          <w:sz w:val="20"/>
        </w:rPr>
        <w:t> </w:t>
      </w:r>
      <w:r>
        <w:rPr>
          <w:rFonts w:ascii="Gotham Book" w:hAnsi="Gotham Book"/>
          <w:b w:val="0"/>
          <w:color w:val="231F20"/>
          <w:spacing w:val="-1"/>
          <w:sz w:val="20"/>
        </w:rPr>
        <w:t>COMPETITION</w:t>
      </w:r>
      <w:r>
        <w:rPr>
          <w:rFonts w:ascii="Gotham Book" w:hAnsi="Gotham Book"/>
          <w:b w:val="0"/>
          <w:color w:val="231F20"/>
          <w:spacing w:val="-17"/>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ld" w:hAnsi="Gotham Bold"/>
          <w:b/>
          <w:color w:val="231F20"/>
          <w:spacing w:val="-9"/>
          <w:sz w:val="20"/>
        </w:rPr>
        <w:t>PIATA</w:t>
      </w:r>
      <w:r>
        <w:rPr>
          <w:rFonts w:ascii="Gotham Bold" w:hAnsi="Gotham Bold"/>
          <w:b/>
          <w:color w:val="231F20"/>
          <w:spacing w:val="-23"/>
          <w:sz w:val="20"/>
        </w:rPr>
        <w:t> </w:t>
      </w:r>
      <w:r>
        <w:rPr>
          <w:rFonts w:ascii="Gotham Bold" w:hAnsi="Gotham Bold"/>
          <w:b/>
          <w:color w:val="231F20"/>
          <w:spacing w:val="-6"/>
          <w:sz w:val="20"/>
        </w:rPr>
        <w:t>SFATULUI</w:t>
      </w:r>
      <w:r>
        <w:rPr>
          <w:rFonts w:ascii="Gotham Bold" w:hAnsi="Gotham Bold"/>
          <w:b/>
          <w:color w:val="231F20"/>
          <w:spacing w:val="-22"/>
          <w:sz w:val="20"/>
        </w:rPr>
        <w:t> </w:t>
      </w:r>
      <w:r>
        <w:rPr>
          <w:rFonts w:ascii="Gotham Bold" w:hAnsi="Gotham Bold"/>
          <w:b/>
          <w:color w:val="231F20"/>
          <w:spacing w:val="-3"/>
          <w:sz w:val="20"/>
        </w:rPr>
        <w:t>BRAȘOV</w:t>
      </w:r>
      <w:r>
        <w:rPr>
          <w:rFonts w:ascii="Gotham Bold" w:hAnsi="Gotham Bold"/>
          <w:b/>
          <w:color w:val="231F20"/>
          <w:spacing w:val="-23"/>
          <w:sz w:val="20"/>
        </w:rPr>
        <w:t> </w:t>
      </w:r>
      <w:r>
        <w:rPr>
          <w:rFonts w:ascii="Gotham Bold" w:hAnsi="Gotham Bold"/>
          <w:b/>
          <w:color w:val="231F20"/>
          <w:sz w:val="20"/>
        </w:rPr>
        <w:t>CENTRAL</w:t>
      </w:r>
      <w:r>
        <w:rPr>
          <w:rFonts w:ascii="Gotham Bold" w:hAnsi="Gotham Bold"/>
          <w:b/>
          <w:color w:val="231F20"/>
          <w:spacing w:val="-23"/>
          <w:sz w:val="20"/>
        </w:rPr>
        <w:t> </w:t>
      </w:r>
      <w:r>
        <w:rPr>
          <w:rFonts w:ascii="Gotham Bold" w:hAnsi="Gotham Bold"/>
          <w:b/>
          <w:color w:val="231F20"/>
          <w:spacing w:val="-2"/>
          <w:sz w:val="20"/>
        </w:rPr>
        <w:t>SQUARE</w:t>
      </w:r>
      <w:r>
        <w:rPr>
          <w:rFonts w:ascii="Gotham Bold" w:hAnsi="Gotham Bold"/>
          <w:b/>
          <w:color w:val="231F20"/>
          <w:spacing w:val="-22"/>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ok" w:hAnsi="Gotham Book"/>
          <w:b w:val="0"/>
          <w:color w:val="231F20"/>
          <w:sz w:val="20"/>
        </w:rPr>
        <w:t>RO</w:t>
      </w:r>
      <w:r>
        <w:rPr>
          <w:rFonts w:ascii="Gotham Book" w:hAnsi="Gotham Book"/>
          <w:sz w:val="20"/>
        </w:rPr>
      </w: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6"/>
        <w:rPr>
          <w:rFonts w:ascii="Gotham Book" w:hAnsi="Gotham Book" w:cs="Gotham Book" w:eastAsia="Gotham Book"/>
          <w:b w:val="0"/>
          <w:bCs w:val="0"/>
          <w:sz w:val="19"/>
          <w:szCs w:val="19"/>
        </w:rPr>
      </w:pPr>
    </w:p>
    <w:p>
      <w:pPr>
        <w:spacing w:before="0"/>
        <w:ind w:left="104" w:right="0" w:firstLine="0"/>
        <w:jc w:val="left"/>
        <w:rPr>
          <w:rFonts w:ascii="Arial" w:hAnsi="Arial" w:cs="Arial" w:eastAsia="Arial"/>
          <w:sz w:val="24"/>
          <w:szCs w:val="24"/>
        </w:rPr>
      </w:pPr>
      <w:r>
        <w:rPr>
          <w:rFonts w:ascii="Arial" w:hAnsi="Arial" w:cs="Arial" w:eastAsia="Arial"/>
          <w:b/>
          <w:bCs/>
          <w:color w:val="231F20"/>
          <w:sz w:val="24"/>
          <w:szCs w:val="24"/>
        </w:rPr>
        <w:t>PROIECTUL</w:t>
      </w:r>
      <w:r>
        <w:rPr>
          <w:rFonts w:ascii="Arial" w:hAnsi="Arial" w:cs="Arial" w:eastAsia="Arial"/>
          <w:b/>
          <w:bCs/>
          <w:color w:val="231F20"/>
          <w:spacing w:val="-7"/>
          <w:sz w:val="24"/>
          <w:szCs w:val="24"/>
        </w:rPr>
        <w:t> </w:t>
      </w:r>
      <w:r>
        <w:rPr>
          <w:rFonts w:ascii="Arial" w:hAnsi="Arial" w:cs="Arial" w:eastAsia="Arial"/>
          <w:b/>
          <w:bCs/>
          <w:color w:val="231F20"/>
          <w:spacing w:val="-1"/>
          <w:sz w:val="24"/>
          <w:szCs w:val="24"/>
        </w:rPr>
        <w:t>CU</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NR.</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DE</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CONCURS</w:t>
      </w:r>
      <w:r>
        <w:rPr>
          <w:rFonts w:ascii="Arial" w:hAnsi="Arial" w:cs="Arial" w:eastAsia="Arial"/>
          <w:b/>
          <w:bCs/>
          <w:color w:val="231F20"/>
          <w:spacing w:val="-2"/>
          <w:sz w:val="24"/>
          <w:szCs w:val="24"/>
        </w:rPr>
        <w:t> </w:t>
      </w:r>
      <w:r>
        <w:rPr>
          <w:rFonts w:ascii="Arial" w:hAnsi="Arial" w:cs="Arial" w:eastAsia="Arial"/>
          <w:b/>
          <w:bCs/>
          <w:color w:val="231F20"/>
          <w:spacing w:val="-5"/>
          <w:sz w:val="24"/>
          <w:szCs w:val="24"/>
        </w:rPr>
        <w:t>114</w:t>
      </w:r>
      <w:r>
        <w:rPr>
          <w:rFonts w:ascii="Arial" w:hAnsi="Arial" w:cs="Arial" w:eastAsia="Arial"/>
          <w:b/>
          <w:bCs/>
          <w:color w:val="231F20"/>
          <w:spacing w:val="-2"/>
          <w:sz w:val="24"/>
          <w:szCs w:val="24"/>
        </w:rPr>
        <w:t> </w:t>
      </w:r>
      <w:r>
        <w:rPr>
          <w:rFonts w:ascii="Arial" w:hAnsi="Arial" w:cs="Arial" w:eastAsia="Arial"/>
          <w:b/>
          <w:bCs/>
          <w:color w:val="231F20"/>
          <w:sz w:val="24"/>
          <w:szCs w:val="24"/>
        </w:rPr>
        <w:t>–</w:t>
      </w:r>
      <w:r>
        <w:rPr>
          <w:rFonts w:ascii="Arial" w:hAnsi="Arial" w:cs="Arial" w:eastAsia="Arial"/>
          <w:b/>
          <w:bCs/>
          <w:color w:val="231F20"/>
          <w:spacing w:val="-3"/>
          <w:sz w:val="24"/>
          <w:szCs w:val="24"/>
        </w:rPr>
        <w:t> </w:t>
      </w:r>
      <w:r>
        <w:rPr>
          <w:rFonts w:ascii="Arial" w:hAnsi="Arial" w:cs="Arial" w:eastAsia="Arial"/>
          <w:b/>
          <w:bCs/>
          <w:color w:val="231F20"/>
          <w:sz w:val="24"/>
          <w:szCs w:val="24"/>
        </w:rPr>
        <w:t>PREMIUL</w:t>
      </w:r>
      <w:r>
        <w:rPr>
          <w:rFonts w:ascii="Arial" w:hAnsi="Arial" w:cs="Arial" w:eastAsia="Arial"/>
          <w:b/>
          <w:bCs/>
          <w:color w:val="231F20"/>
          <w:spacing w:val="-7"/>
          <w:sz w:val="24"/>
          <w:szCs w:val="24"/>
        </w:rPr>
        <w:t> </w:t>
      </w:r>
      <w:r>
        <w:rPr>
          <w:rFonts w:ascii="Arial" w:hAnsi="Arial" w:cs="Arial" w:eastAsia="Arial"/>
          <w:b/>
          <w:bCs/>
          <w:color w:val="231F20"/>
          <w:sz w:val="24"/>
          <w:szCs w:val="24"/>
        </w:rPr>
        <w:t>II</w:t>
      </w:r>
      <w:r>
        <w:rPr>
          <w:rFonts w:ascii="Arial" w:hAnsi="Arial" w:cs="Arial" w:eastAsia="Arial"/>
          <w:sz w:val="24"/>
          <w:szCs w:val="24"/>
        </w:rPr>
      </w:r>
    </w:p>
    <w:p>
      <w:pPr>
        <w:spacing w:line="240" w:lineRule="auto" w:before="1"/>
        <w:rPr>
          <w:rFonts w:ascii="Arial" w:hAnsi="Arial" w:cs="Arial" w:eastAsia="Arial"/>
          <w:b/>
          <w:bCs/>
          <w:sz w:val="26"/>
          <w:szCs w:val="26"/>
        </w:rPr>
      </w:pPr>
    </w:p>
    <w:p>
      <w:pPr>
        <w:pStyle w:val="BodyText"/>
        <w:spacing w:line="250" w:lineRule="auto"/>
        <w:ind w:right="215"/>
        <w:jc w:val="left"/>
      </w:pPr>
      <w:r>
        <w:rPr>
          <w:color w:val="231F20"/>
        </w:rPr>
        <w:t>Proiectul se bazează pe o analiză și interpretare atentă a istoriei locale. Relația cu istoria este întruchipată cu delicatețe prin pavajul propus și prin refacerea vechiului curs de apă. Propunerea operează o reactivare a Casei Sfatului și, mai ales, a turnului, prin noua zonă de ședere și intrarea secundară.</w:t>
      </w:r>
      <w:r>
        <w:rPr>
          <w:color w:val="231F20"/>
          <w:spacing w:val="-4"/>
        </w:rPr>
        <w:t> </w:t>
      </w:r>
      <w:r>
        <w:rPr>
          <w:color w:val="231F20"/>
          <w:spacing w:val="-27"/>
        </w:rPr>
        <w:t>T</w:t>
      </w:r>
      <w:r>
        <w:rPr>
          <w:color w:val="231F20"/>
        </w:rPr>
        <w:t>oate gesturile arhitecturale sunt marcaje delicate ale unor</w:t>
      </w:r>
      <w:r>
        <w:rPr>
          <w:color w:val="231F20"/>
        </w:rPr>
        <w:t> elemente relevante din punct de vedere istoric.</w:t>
      </w:r>
      <w:r>
        <w:rPr/>
      </w:r>
    </w:p>
    <w:p>
      <w:pPr>
        <w:spacing w:line="240" w:lineRule="auto" w:before="1"/>
        <w:rPr>
          <w:rFonts w:ascii="Arial" w:hAnsi="Arial" w:cs="Arial" w:eastAsia="Arial"/>
          <w:sz w:val="25"/>
          <w:szCs w:val="25"/>
        </w:rPr>
      </w:pPr>
    </w:p>
    <w:p>
      <w:pPr>
        <w:pStyle w:val="BodyText"/>
        <w:spacing w:line="250" w:lineRule="auto"/>
        <w:ind w:right="295"/>
        <w:jc w:val="left"/>
      </w:pPr>
      <w:r>
        <w:rPr>
          <w:color w:val="231F20"/>
        </w:rPr>
        <w:t>Proiectul se bazează pe un studiu foarte amănunțit și detaliat al întregii structuri construite a Cetății, care dezvăluie o rețea de repere și caracteristici funcționale și istorice și propune</w:t>
      </w:r>
      <w:r>
        <w:rPr/>
      </w:r>
    </w:p>
    <w:p>
      <w:pPr>
        <w:pStyle w:val="BodyText"/>
        <w:spacing w:line="250" w:lineRule="auto"/>
        <w:ind w:right="122"/>
        <w:jc w:val="left"/>
      </w:pPr>
      <w:r>
        <w:rPr>
          <w:color w:val="231F20"/>
        </w:rPr>
        <w:t>o viziune coerentă pentru punerea în valoare a acestui strat prin potențiale proiecte viitoare. Această narațiune generală include propuneri privind modul de tratare a </w:t>
      </w:r>
      <w:r>
        <w:rPr>
          <w:color w:val="231F20"/>
          <w:spacing w:val="-2"/>
        </w:rPr>
        <w:t>limitelor,</w:t>
      </w:r>
      <w:r>
        <w:rPr>
          <w:color w:val="231F20"/>
        </w:rPr>
        <w:t> a punctelor</w:t>
      </w:r>
      <w:r>
        <w:rPr>
          <w:color w:val="231F20"/>
          <w:spacing w:val="28"/>
        </w:rPr>
        <w:t> </w:t>
      </w:r>
      <w:r>
        <w:rPr>
          <w:color w:val="231F20"/>
        </w:rPr>
        <w:t>focale (de ex. liceul), a spațiilor publice de la intersecțiile de străzi și propune, de asemenea,</w:t>
      </w:r>
      <w:r>
        <w:rPr>
          <w:color w:val="231F20"/>
        </w:rPr>
        <w:t> soluții pentru probleme structurale, cum ar fi parcările din afara nucleului istoric. Sunt propuse tipuri variate de pavaje, în conformitate cu zonele specifice din cadrul Orașului Zidit; proiectul prezintă mostre generice pentru rezolvarea cu acuratețe a acestora.</w:t>
      </w:r>
      <w:r>
        <w:rPr/>
      </w:r>
    </w:p>
    <w:p>
      <w:pPr>
        <w:spacing w:line="240" w:lineRule="auto" w:before="1"/>
        <w:rPr>
          <w:rFonts w:ascii="Arial" w:hAnsi="Arial" w:cs="Arial" w:eastAsia="Arial"/>
          <w:sz w:val="25"/>
          <w:szCs w:val="25"/>
        </w:rPr>
      </w:pPr>
    </w:p>
    <w:p>
      <w:pPr>
        <w:pStyle w:val="BodyText"/>
        <w:spacing w:line="250" w:lineRule="auto"/>
        <w:ind w:right="215"/>
        <w:jc w:val="left"/>
      </w:pPr>
      <w:r>
        <w:rPr>
          <w:color w:val="231F20"/>
        </w:rPr>
        <w:t>O soluție particulară pentru integrarea spațială în cadrul Cetății este completarea subtilă a unui inel verde în jurul Orașului Fortificat prin plantarea de noi copaci care să îmbogățească posibilitățile de promenadă. Propunerea oferă o relație bine calibrată cu perimetrul pieței (activând clădirile existente), precum și cu străzile adiacente, ilustrată în continuare prin includerea elevațiilor în reprezentarea planului general.</w:t>
      </w:r>
      <w:r>
        <w:rPr/>
      </w:r>
    </w:p>
    <w:p>
      <w:pPr>
        <w:spacing w:line="240" w:lineRule="auto" w:before="1"/>
        <w:rPr>
          <w:rFonts w:ascii="Arial" w:hAnsi="Arial" w:cs="Arial" w:eastAsia="Arial"/>
          <w:sz w:val="25"/>
          <w:szCs w:val="25"/>
        </w:rPr>
      </w:pPr>
    </w:p>
    <w:p>
      <w:pPr>
        <w:pStyle w:val="BodyText"/>
        <w:spacing w:line="250" w:lineRule="auto"/>
        <w:ind w:right="113"/>
        <w:jc w:val="both"/>
      </w:pPr>
      <w:r>
        <w:rPr>
          <w:color w:val="231F20"/>
        </w:rPr>
        <w:t>Conexiunile cu spațiile adiacente sunt bine gândite și sunt reprezentate prin detalii controlate pentru zonele intermediare și articulații, de exemplu, urma unui pod vechi. Întregul proiect se bazează pe gesturi semnificative și delicate care funcționează bine în cadrul orașului.</w:t>
      </w:r>
      <w:r>
        <w:rPr/>
      </w:r>
    </w:p>
    <w:p>
      <w:pPr>
        <w:spacing w:line="240" w:lineRule="auto" w:before="1"/>
        <w:rPr>
          <w:rFonts w:ascii="Arial" w:hAnsi="Arial" w:cs="Arial" w:eastAsia="Arial"/>
          <w:sz w:val="25"/>
          <w:szCs w:val="25"/>
        </w:rPr>
      </w:pPr>
    </w:p>
    <w:p>
      <w:pPr>
        <w:pStyle w:val="BodyText"/>
        <w:spacing w:line="250" w:lineRule="auto"/>
        <w:ind w:right="238"/>
        <w:jc w:val="left"/>
      </w:pPr>
      <w:r>
        <w:rPr>
          <w:color w:val="231F20"/>
        </w:rPr>
        <w:t>Juriul a apreciat abordarea sustenabilă de reutilizare a unor cantități substanțiale de materiale existente în cadrul elementelor fixe de </w:t>
      </w:r>
      <w:r>
        <w:rPr>
          <w:color w:val="231F20"/>
          <w:spacing w:val="-2"/>
        </w:rPr>
        <w:t>mobilier,</w:t>
      </w:r>
      <w:r>
        <w:rPr>
          <w:color w:val="231F20"/>
        </w:rPr>
        <w:t> prin concasarea pietrelor și</w:t>
      </w:r>
      <w:r>
        <w:rPr>
          <w:color w:val="231F20"/>
          <w:spacing w:val="25"/>
        </w:rPr>
        <w:t> </w:t>
      </w:r>
      <w:r>
        <w:rPr>
          <w:color w:val="231F20"/>
        </w:rPr>
        <w:t>turnarea de obiecte cu ajutorul acestora.</w:t>
      </w:r>
      <w:r>
        <w:rPr>
          <w:color w:val="231F20"/>
          <w:spacing w:val="-13"/>
        </w:rPr>
        <w:t> </w:t>
      </w:r>
      <w:r>
        <w:rPr>
          <w:color w:val="231F20"/>
        </w:rPr>
        <w:t>Autorii dau dovadă de un mod delicat și inteligent</w:t>
      </w:r>
      <w:r>
        <w:rPr>
          <w:color w:val="231F20"/>
        </w:rPr>
        <w:t> de a lucra cu materialele, ilustrat prin detalii atente.</w:t>
      </w:r>
      <w:r>
        <w:rPr/>
      </w:r>
    </w:p>
    <w:p>
      <w:pPr>
        <w:spacing w:line="240" w:lineRule="auto" w:before="1"/>
        <w:rPr>
          <w:rFonts w:ascii="Arial" w:hAnsi="Arial" w:cs="Arial" w:eastAsia="Arial"/>
          <w:sz w:val="25"/>
          <w:szCs w:val="25"/>
        </w:rPr>
      </w:pPr>
    </w:p>
    <w:p>
      <w:pPr>
        <w:pStyle w:val="BodyText"/>
        <w:spacing w:line="250" w:lineRule="auto"/>
        <w:ind w:right="238"/>
        <w:jc w:val="left"/>
      </w:pPr>
      <w:r>
        <w:rPr>
          <w:color w:val="231F20"/>
          <w:spacing w:val="-2"/>
        </w:rPr>
        <w:t>Varietatea</w:t>
      </w:r>
      <w:r>
        <w:rPr>
          <w:color w:val="231F20"/>
        </w:rPr>
        <w:t> soluțiilor de pavaj este lăudabilă, iar alegerea materialelor este foarte interesantă</w:t>
      </w:r>
      <w:r>
        <w:rPr>
          <w:color w:val="231F20"/>
          <w:spacing w:val="22"/>
        </w:rPr>
        <w:t> </w:t>
      </w:r>
      <w:r>
        <w:rPr>
          <w:color w:val="231F20"/>
        </w:rPr>
        <w:t>într-un context local, însă ridică întrebări cu privire la fezabilitatea, funcționalitatea și</w:t>
      </w:r>
      <w:r>
        <w:rPr>
          <w:color w:val="231F20"/>
        </w:rPr>
        <w:t> întreținerea spațiului, din cauza texturii sale incomode pentru mersul susținut.</w:t>
      </w:r>
      <w:r>
        <w:rPr/>
      </w:r>
    </w:p>
    <w:sectPr>
      <w:type w:val="continuous"/>
      <w:pgSz w:w="11910" w:h="16840"/>
      <w:pgMar w:top="62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 Bold">
    <w:altName w:val="Gotham Bold"/>
    <w:charset w:val="0"/>
    <w:family w:val="modern"/>
    <w:pitch w:val="variable"/>
  </w:font>
  <w:font w:name="Gotham Book">
    <w:altName w:val="Gotham Book"/>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4"/>
    </w:pPr>
    <w:rPr>
      <w:rFonts w:ascii="Arial" w:hAnsi="Arial" w:eastAsia="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2022-04-11T14:21:52Z</dcterms:created>
  <dcterms:modified xsi:type="dcterms:W3CDTF">2022-04-11T14:21:52Z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LastSaved">
    <vt:filetime>2022-04-11T00:00:00Z</vt:filetime>
  </property>
</Properties>
</file>