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04" w:right="0" w:firstLine="0"/>
        <w:jc w:val="left"/>
        <w:rPr>
          <w:rFonts w:ascii="Gotham Book" w:hAnsi="Gotham Book" w:cs="Gotham Book" w:eastAsia="Gotham Book"/>
          <w:sz w:val="20"/>
          <w:szCs w:val="20"/>
        </w:rPr>
      </w:pPr>
      <w:r>
        <w:rPr>
          <w:rFonts w:ascii="Gotham Book" w:hAnsi="Gotham Book"/>
          <w:b w:val="0"/>
          <w:color w:val="231F20"/>
          <w:spacing w:val="-2"/>
          <w:sz w:val="20"/>
        </w:rPr>
        <w:t>INTERNATIONAL</w:t>
      </w:r>
      <w:r>
        <w:rPr>
          <w:rFonts w:ascii="Gotham Book" w:hAnsi="Gotham Book"/>
          <w:b w:val="0"/>
          <w:color w:val="231F20"/>
          <w:spacing w:val="-17"/>
          <w:sz w:val="20"/>
        </w:rPr>
        <w:t> </w:t>
      </w:r>
      <w:r>
        <w:rPr>
          <w:rFonts w:ascii="Gotham Book" w:hAnsi="Gotham Book"/>
          <w:b w:val="0"/>
          <w:color w:val="231F20"/>
          <w:sz w:val="20"/>
        </w:rPr>
        <w:t>DESIGN</w:t>
      </w:r>
      <w:r>
        <w:rPr>
          <w:rFonts w:ascii="Gotham Book" w:hAnsi="Gotham Book"/>
          <w:b w:val="0"/>
          <w:color w:val="231F20"/>
          <w:spacing w:val="-17"/>
          <w:sz w:val="20"/>
        </w:rPr>
        <w:t> </w:t>
      </w:r>
      <w:r>
        <w:rPr>
          <w:rFonts w:ascii="Gotham Book" w:hAnsi="Gotham Book"/>
          <w:b w:val="0"/>
          <w:color w:val="231F20"/>
          <w:spacing w:val="-1"/>
          <w:sz w:val="20"/>
        </w:rPr>
        <w:t>COMPETITION</w:t>
      </w:r>
      <w:r>
        <w:rPr>
          <w:rFonts w:ascii="Gotham Book" w:hAnsi="Gotham Book"/>
          <w:b w:val="0"/>
          <w:color w:val="231F20"/>
          <w:spacing w:val="-17"/>
          <w:sz w:val="20"/>
        </w:rPr>
        <w:t> </w:t>
      </w:r>
      <w:r>
        <w:rPr>
          <w:rFonts w:ascii="Gotham Book" w:hAnsi="Gotham Book"/>
          <w:b w:val="0"/>
          <w:color w:val="231F20"/>
          <w:sz w:val="20"/>
        </w:rPr>
        <w:t>|</w:t>
      </w:r>
      <w:r>
        <w:rPr>
          <w:rFonts w:ascii="Gotham Book" w:hAnsi="Gotham Book"/>
          <w:b w:val="0"/>
          <w:color w:val="231F20"/>
          <w:spacing w:val="-17"/>
          <w:sz w:val="20"/>
        </w:rPr>
        <w:t> </w:t>
      </w:r>
      <w:r>
        <w:rPr>
          <w:rFonts w:ascii="Gotham Bold" w:hAnsi="Gotham Bold"/>
          <w:b/>
          <w:color w:val="231F20"/>
          <w:spacing w:val="-9"/>
          <w:sz w:val="20"/>
        </w:rPr>
        <w:t>PIATA</w:t>
      </w:r>
      <w:r>
        <w:rPr>
          <w:rFonts w:ascii="Gotham Bold" w:hAnsi="Gotham Bold"/>
          <w:b/>
          <w:color w:val="231F20"/>
          <w:spacing w:val="-23"/>
          <w:sz w:val="20"/>
        </w:rPr>
        <w:t> </w:t>
      </w:r>
      <w:r>
        <w:rPr>
          <w:rFonts w:ascii="Gotham Bold" w:hAnsi="Gotham Bold"/>
          <w:b/>
          <w:color w:val="231F20"/>
          <w:spacing w:val="-6"/>
          <w:sz w:val="20"/>
        </w:rPr>
        <w:t>SFATULUI</w:t>
      </w:r>
      <w:r>
        <w:rPr>
          <w:rFonts w:ascii="Gotham Bold" w:hAnsi="Gotham Bold"/>
          <w:b/>
          <w:color w:val="231F20"/>
          <w:spacing w:val="-22"/>
          <w:sz w:val="20"/>
        </w:rPr>
        <w:t> </w:t>
      </w:r>
      <w:r>
        <w:rPr>
          <w:rFonts w:ascii="Gotham Bold" w:hAnsi="Gotham Bold"/>
          <w:b/>
          <w:color w:val="231F20"/>
          <w:spacing w:val="-3"/>
          <w:sz w:val="20"/>
        </w:rPr>
        <w:t>BRAȘOV</w:t>
      </w:r>
      <w:r>
        <w:rPr>
          <w:rFonts w:ascii="Gotham Bold" w:hAnsi="Gotham Bold"/>
          <w:b/>
          <w:color w:val="231F20"/>
          <w:spacing w:val="-23"/>
          <w:sz w:val="20"/>
        </w:rPr>
        <w:t> </w:t>
      </w:r>
      <w:r>
        <w:rPr>
          <w:rFonts w:ascii="Gotham Bold" w:hAnsi="Gotham Bold"/>
          <w:b/>
          <w:color w:val="231F20"/>
          <w:sz w:val="20"/>
        </w:rPr>
        <w:t>CENTRAL</w:t>
      </w:r>
      <w:r>
        <w:rPr>
          <w:rFonts w:ascii="Gotham Bold" w:hAnsi="Gotham Bold"/>
          <w:b/>
          <w:color w:val="231F20"/>
          <w:spacing w:val="-23"/>
          <w:sz w:val="20"/>
        </w:rPr>
        <w:t> </w:t>
      </w:r>
      <w:r>
        <w:rPr>
          <w:rFonts w:ascii="Gotham Bold" w:hAnsi="Gotham Bold"/>
          <w:b/>
          <w:color w:val="231F20"/>
          <w:spacing w:val="-2"/>
          <w:sz w:val="20"/>
        </w:rPr>
        <w:t>SQUARE</w:t>
      </w:r>
      <w:r>
        <w:rPr>
          <w:rFonts w:ascii="Gotham Bold" w:hAnsi="Gotham Bold"/>
          <w:b/>
          <w:color w:val="231F20"/>
          <w:spacing w:val="-22"/>
          <w:sz w:val="20"/>
        </w:rPr>
        <w:t> </w:t>
      </w:r>
      <w:r>
        <w:rPr>
          <w:rFonts w:ascii="Gotham Book" w:hAnsi="Gotham Book"/>
          <w:b w:val="0"/>
          <w:color w:val="231F20"/>
          <w:sz w:val="20"/>
        </w:rPr>
        <w:t>|</w:t>
      </w:r>
      <w:r>
        <w:rPr>
          <w:rFonts w:ascii="Gotham Book" w:hAnsi="Gotham Book"/>
          <w:b w:val="0"/>
          <w:color w:val="231F20"/>
          <w:spacing w:val="-17"/>
          <w:sz w:val="20"/>
        </w:rPr>
        <w:t> </w:t>
      </w:r>
      <w:r>
        <w:rPr>
          <w:rFonts w:ascii="Gotham Book" w:hAnsi="Gotham Book"/>
          <w:b w:val="0"/>
          <w:color w:val="231F20"/>
          <w:sz w:val="20"/>
        </w:rPr>
        <w:t>RO</w:t>
      </w:r>
      <w:r>
        <w:rPr>
          <w:rFonts w:ascii="Gotham Book" w:hAnsi="Gotham Book"/>
          <w:sz w:val="20"/>
        </w:rPr>
      </w: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Gotham Book" w:hAnsi="Gotham Book" w:cs="Gotham Book" w:eastAsia="Gotham Book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Gotham Book" w:hAnsi="Gotham Book" w:cs="Gotham Book" w:eastAsia="Gotham Book"/>
          <w:b w:val="0"/>
          <w:bCs w:val="0"/>
          <w:sz w:val="19"/>
          <w:szCs w:val="19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PROIECTUL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CU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NR.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CONCURS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108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PREMIUL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III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0" w:lineRule="auto"/>
        <w:ind w:right="0"/>
        <w:jc w:val="left"/>
      </w:pPr>
      <w:r>
        <w:rPr>
          <w:color w:val="231F20"/>
        </w:rPr>
        <w:t>Proiectul este referențial în raport cu toate straturile istorice identificate prin studiul istoric. Acesta creează o topografie continuă, păstrând ceea ce autorii consideră a fi cele mai importante caracteristici reinventate într-un colaj urban, fără o ierarhie clară între aceste elemente.</w:t>
      </w:r>
      <w:r>
        <w:rPr>
          <w:color w:val="231F20"/>
          <w:spacing w:val="-14"/>
        </w:rPr>
        <w:t> </w:t>
      </w:r>
      <w:r>
        <w:rPr>
          <w:color w:val="231F20"/>
        </w:rPr>
        <w:t>Astfel, recreează prezența apei printr-o nouă fântână și un curs de apă, reia unele</w:t>
      </w:r>
      <w:r>
        <w:rPr>
          <w:color w:val="231F20"/>
        </w:rPr>
        <w:t> aliniamente de arbori vechi în apropierea Casei Sfatului și de-a lungul fațadei nord-est a Pieței, sugerând promenada pierdută de-a lungul acesteia. Copacii de lângă Casa Sfatului subliniază accesul principal, ascunzând însă parțial fațada nord-vestică a clădirii și prezența acesteia în Piață. Joncțiunea cu curtea Honterus nu este subliniată mai mult decât prin articulația trotuarului creată pentru toate celelalte fațade sau proprietăți.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0" w:lineRule="auto"/>
        <w:ind w:right="135"/>
        <w:jc w:val="left"/>
      </w:pPr>
      <w:r>
        <w:rPr>
          <w:color w:val="231F20"/>
        </w:rPr>
        <w:t>Signaletica este atent analizată, inspirată de exemple istorice documentate, care redau caracterul comercial al pieței. Pentru a arăta luarea în considerare atentă a straturilor istorice, autorii au ales să reprezinte suprafața existentă a pieței suprapusă peste plan.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0" w:lineRule="auto"/>
        <w:ind w:right="0"/>
        <w:jc w:val="left"/>
      </w:pPr>
      <w:r>
        <w:rPr>
          <w:color w:val="231F20"/>
        </w:rPr>
        <w:t>Configurația propusă permite desfășurarea majorității evenimentelor tradiționale (de la evenimente culturale la scară mică la evenimente culturale la scară mare). Cu toate acestea, combinația dintre mobilierul urban - bănci și apă - limitează parțial cele mai mari evenimente. </w:t>
      </w:r>
      <w:r>
        <w:rPr>
          <w:color w:val="231F20"/>
          <w:spacing w:val="-27"/>
        </w:rPr>
        <w:t>T</w:t>
      </w:r>
      <w:r>
        <w:rPr>
          <w:color w:val="231F20"/>
        </w:rPr>
        <w:t>erasele adiacente au o prezență marcată, susținută de diferența de pavaj.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0" w:lineRule="auto"/>
        <w:ind w:right="162"/>
        <w:jc w:val="left"/>
      </w:pPr>
      <w:r>
        <w:rPr>
          <w:color w:val="231F20"/>
        </w:rPr>
        <w:t>Proiectul abordează întregul spațiu public al Cetății într-o manieră etapizată, cu o perspectivă asupra dezvoltării viitoare a Brașovului. Cu toate acestea, propunerea de continuare a pavajului din piața centrală pe străzile adiacente, în special pe Republicii, pune presiune pe întreaga rețea de spații publice care trebuie reamenajate în viitorul apropiat, în maniera sugerată de proiect.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0" w:lineRule="auto"/>
        <w:ind w:right="496"/>
        <w:jc w:val="left"/>
      </w:pPr>
      <w:r>
        <w:rPr>
          <w:color w:val="231F20"/>
        </w:rPr>
        <w:t>Pe strada </w:t>
      </w:r>
      <w:r>
        <w:rPr>
          <w:color w:val="231F20"/>
          <w:spacing w:val="-2"/>
        </w:rPr>
        <w:t>Mureșenilor,</w:t>
      </w:r>
      <w:r>
        <w:rPr>
          <w:color w:val="231F20"/>
        </w:rPr>
        <w:t> lărgirea trotuarului combinată cu marcarea trotuarelor clădirilor</w:t>
      </w:r>
      <w:r>
        <w:rPr>
          <w:color w:val="231F20"/>
          <w:spacing w:val="23"/>
        </w:rPr>
        <w:t> </w:t>
      </w:r>
      <w:r>
        <w:rPr>
          <w:color w:val="231F20"/>
        </w:rPr>
        <w:t>permite o îmbogățire a posibilităților de dezvoltare a activităților de la </w:t>
      </w:r>
      <w:r>
        <w:rPr>
          <w:color w:val="231F20"/>
          <w:spacing w:val="-2"/>
        </w:rPr>
        <w:t>parter.</w:t>
      </w:r>
      <w:r>
        <w:rPr>
          <w:color w:val="231F20"/>
        </w:rPr>
        <w:t> Proiectul ia</w:t>
      </w:r>
      <w:r>
        <w:rPr>
          <w:color w:val="231F20"/>
          <w:spacing w:val="21"/>
        </w:rPr>
        <w:t> </w:t>
      </w:r>
      <w:r>
        <w:rPr>
          <w:color w:val="231F20"/>
        </w:rPr>
        <w:t>în considerare Casa Sfatului prin evidențierea intrării sale, plasarea de bănci și copaci în</w:t>
      </w:r>
      <w:r>
        <w:rPr>
          <w:color w:val="231F20"/>
        </w:rPr>
        <w:t> strânsă legătură, limitând în același timp intervenția asupra monumentului în sine.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0" w:lineRule="auto"/>
        <w:ind w:right="0"/>
        <w:jc w:val="left"/>
      </w:pPr>
      <w:r>
        <w:rPr>
          <w:color w:val="231F20"/>
        </w:rPr>
        <w:t>Soluțiile de pavaj propuse necesită în general puțină întreținere, iar materialele utilizate au o bună durabilitate la exterior și au potențialul de a dezvolta o patină fermecătoare.</w:t>
      </w:r>
      <w:r>
        <w:rPr/>
      </w:r>
    </w:p>
    <w:sectPr>
      <w:type w:val="continuous"/>
      <w:pgSz w:w="11910" w:h="16840"/>
      <w:pgMar w:top="6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am Book">
    <w:altName w:val="Gotham Book"/>
    <w:charset w:val="0"/>
    <w:family w:val="modern"/>
    <w:pitch w:val="variable"/>
  </w:font>
  <w:font w:name="Gotham Bold">
    <w:altName w:val="Gotham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2022-04-11T14:22:08Z</dcterms:created>
  <dcterms:modified xsi:type="dcterms:W3CDTF">2022-04-11T14:22:08Z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