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0"/>
        <w:ind w:left="104" w:right="0" w:firstLine="0"/>
        <w:jc w:val="left"/>
        <w:rPr>
          <w:rFonts w:ascii="Gotham Book" w:hAnsi="Gotham Book" w:cs="Gotham Book" w:eastAsia="Gotham Book"/>
          <w:sz w:val="20"/>
          <w:szCs w:val="20"/>
        </w:rPr>
      </w:pPr>
      <w:r>
        <w:rPr>
          <w:rFonts w:ascii="Gotham Book" w:hAnsi="Gotham Book"/>
          <w:b w:val="0"/>
          <w:color w:val="231F20"/>
          <w:spacing w:val="-2"/>
          <w:sz w:val="20"/>
        </w:rPr>
        <w:t>INTERNATIONAL</w:t>
      </w:r>
      <w:r>
        <w:rPr>
          <w:rFonts w:ascii="Gotham Book" w:hAnsi="Gotham Book"/>
          <w:b w:val="0"/>
          <w:color w:val="231F20"/>
          <w:spacing w:val="-17"/>
          <w:sz w:val="20"/>
        </w:rPr>
        <w:t> </w:t>
      </w:r>
      <w:r>
        <w:rPr>
          <w:rFonts w:ascii="Gotham Book" w:hAnsi="Gotham Book"/>
          <w:b w:val="0"/>
          <w:color w:val="231F20"/>
          <w:sz w:val="20"/>
        </w:rPr>
        <w:t>DESIGN</w:t>
      </w:r>
      <w:r>
        <w:rPr>
          <w:rFonts w:ascii="Gotham Book" w:hAnsi="Gotham Book"/>
          <w:b w:val="0"/>
          <w:color w:val="231F20"/>
          <w:spacing w:val="-17"/>
          <w:sz w:val="20"/>
        </w:rPr>
        <w:t> </w:t>
      </w:r>
      <w:r>
        <w:rPr>
          <w:rFonts w:ascii="Gotham Book" w:hAnsi="Gotham Book"/>
          <w:b w:val="0"/>
          <w:color w:val="231F20"/>
          <w:spacing w:val="-1"/>
          <w:sz w:val="20"/>
        </w:rPr>
        <w:t>COMPETITION</w:t>
      </w:r>
      <w:r>
        <w:rPr>
          <w:rFonts w:ascii="Gotham Book" w:hAnsi="Gotham Book"/>
          <w:b w:val="0"/>
          <w:color w:val="231F20"/>
          <w:spacing w:val="-17"/>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ld" w:hAnsi="Gotham Bold"/>
          <w:b/>
          <w:color w:val="231F20"/>
          <w:spacing w:val="-9"/>
          <w:sz w:val="20"/>
        </w:rPr>
        <w:t>PIATA</w:t>
      </w:r>
      <w:r>
        <w:rPr>
          <w:rFonts w:ascii="Gotham Bold" w:hAnsi="Gotham Bold"/>
          <w:b/>
          <w:color w:val="231F20"/>
          <w:spacing w:val="-23"/>
          <w:sz w:val="20"/>
        </w:rPr>
        <w:t> </w:t>
      </w:r>
      <w:r>
        <w:rPr>
          <w:rFonts w:ascii="Gotham Bold" w:hAnsi="Gotham Bold"/>
          <w:b/>
          <w:color w:val="231F20"/>
          <w:spacing w:val="-6"/>
          <w:sz w:val="20"/>
        </w:rPr>
        <w:t>SFATULUI</w:t>
      </w:r>
      <w:r>
        <w:rPr>
          <w:rFonts w:ascii="Gotham Bold" w:hAnsi="Gotham Bold"/>
          <w:b/>
          <w:color w:val="231F20"/>
          <w:spacing w:val="-22"/>
          <w:sz w:val="20"/>
        </w:rPr>
        <w:t> </w:t>
      </w:r>
      <w:r>
        <w:rPr>
          <w:rFonts w:ascii="Gotham Bold" w:hAnsi="Gotham Bold"/>
          <w:b/>
          <w:color w:val="231F20"/>
          <w:spacing w:val="-3"/>
          <w:sz w:val="20"/>
        </w:rPr>
        <w:t>BRAȘOV</w:t>
      </w:r>
      <w:r>
        <w:rPr>
          <w:rFonts w:ascii="Gotham Bold" w:hAnsi="Gotham Bold"/>
          <w:b/>
          <w:color w:val="231F20"/>
          <w:spacing w:val="-23"/>
          <w:sz w:val="20"/>
        </w:rPr>
        <w:t> </w:t>
      </w:r>
      <w:r>
        <w:rPr>
          <w:rFonts w:ascii="Gotham Bold" w:hAnsi="Gotham Bold"/>
          <w:b/>
          <w:color w:val="231F20"/>
          <w:sz w:val="20"/>
        </w:rPr>
        <w:t>CENTRAL</w:t>
      </w:r>
      <w:r>
        <w:rPr>
          <w:rFonts w:ascii="Gotham Bold" w:hAnsi="Gotham Bold"/>
          <w:b/>
          <w:color w:val="231F20"/>
          <w:spacing w:val="-23"/>
          <w:sz w:val="20"/>
        </w:rPr>
        <w:t> </w:t>
      </w:r>
      <w:r>
        <w:rPr>
          <w:rFonts w:ascii="Gotham Bold" w:hAnsi="Gotham Bold"/>
          <w:b/>
          <w:color w:val="231F20"/>
          <w:spacing w:val="-2"/>
          <w:sz w:val="20"/>
        </w:rPr>
        <w:t>SQUARE</w:t>
      </w:r>
      <w:r>
        <w:rPr>
          <w:rFonts w:ascii="Gotham Bold" w:hAnsi="Gotham Bold"/>
          <w:b/>
          <w:color w:val="231F20"/>
          <w:spacing w:val="-22"/>
          <w:sz w:val="20"/>
        </w:rPr>
        <w:t> </w:t>
      </w:r>
      <w:r>
        <w:rPr>
          <w:rFonts w:ascii="Gotham Book" w:hAnsi="Gotham Book"/>
          <w:b w:val="0"/>
          <w:color w:val="231F20"/>
          <w:sz w:val="20"/>
        </w:rPr>
        <w:t>|</w:t>
      </w:r>
      <w:r>
        <w:rPr>
          <w:rFonts w:ascii="Gotham Book" w:hAnsi="Gotham Book"/>
          <w:b w:val="0"/>
          <w:color w:val="231F20"/>
          <w:spacing w:val="-17"/>
          <w:sz w:val="20"/>
        </w:rPr>
        <w:t> </w:t>
      </w:r>
      <w:r>
        <w:rPr>
          <w:rFonts w:ascii="Gotham Book" w:hAnsi="Gotham Book"/>
          <w:b w:val="0"/>
          <w:color w:val="231F20"/>
          <w:sz w:val="20"/>
        </w:rPr>
        <w:t>RO</w:t>
      </w:r>
      <w:r>
        <w:rPr>
          <w:rFonts w:ascii="Gotham Book" w:hAnsi="Gotham Book"/>
          <w:sz w:val="20"/>
        </w:rPr>
      </w: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0"/>
        <w:rPr>
          <w:rFonts w:ascii="Gotham Book" w:hAnsi="Gotham Book" w:cs="Gotham Book" w:eastAsia="Gotham Book"/>
          <w:b w:val="0"/>
          <w:bCs w:val="0"/>
          <w:sz w:val="20"/>
          <w:szCs w:val="20"/>
        </w:rPr>
      </w:pPr>
    </w:p>
    <w:p>
      <w:pPr>
        <w:spacing w:line="240" w:lineRule="auto" w:before="6"/>
        <w:rPr>
          <w:rFonts w:ascii="Gotham Book" w:hAnsi="Gotham Book" w:cs="Gotham Book" w:eastAsia="Gotham Book"/>
          <w:b w:val="0"/>
          <w:bCs w:val="0"/>
          <w:sz w:val="19"/>
          <w:szCs w:val="19"/>
        </w:rPr>
      </w:pPr>
    </w:p>
    <w:p>
      <w:pPr>
        <w:pStyle w:val="Heading1"/>
        <w:spacing w:line="240" w:lineRule="auto"/>
        <w:ind w:right="0"/>
        <w:jc w:val="left"/>
        <w:rPr>
          <w:b w:val="0"/>
          <w:bCs w:val="0"/>
        </w:rPr>
      </w:pPr>
      <w:r>
        <w:rPr>
          <w:color w:val="231F20"/>
        </w:rPr>
        <w:t>PROIECTUL</w:t>
      </w:r>
      <w:r>
        <w:rPr>
          <w:color w:val="231F20"/>
          <w:spacing w:val="-5"/>
        </w:rPr>
        <w:t> </w:t>
      </w:r>
      <w:r>
        <w:rPr>
          <w:color w:val="231F20"/>
        </w:rPr>
        <w:t>CU NR. DE CONCURS 104 – MENȚIUNE ONORIFICĂ</w:t>
      </w:r>
      <w:r>
        <w:rPr>
          <w:b w:val="0"/>
          <w:bCs w:val="0"/>
        </w:rPr>
      </w:r>
    </w:p>
    <w:p>
      <w:pPr>
        <w:spacing w:line="240" w:lineRule="auto" w:before="1"/>
        <w:rPr>
          <w:rFonts w:ascii="Arial" w:hAnsi="Arial" w:cs="Arial" w:eastAsia="Arial"/>
          <w:b/>
          <w:bCs/>
          <w:sz w:val="26"/>
          <w:szCs w:val="26"/>
        </w:rPr>
      </w:pPr>
    </w:p>
    <w:p>
      <w:pPr>
        <w:pStyle w:val="BodyText"/>
        <w:spacing w:line="250" w:lineRule="auto"/>
        <w:ind w:right="121"/>
        <w:jc w:val="left"/>
      </w:pPr>
      <w:r>
        <w:rPr>
          <w:color w:val="231F20"/>
        </w:rPr>
        <w:t>Juriul apreciază abordarea sustenabila a proiectului, prin reutilizarea topografiei actuale a spațiului și a anumitor elemente definitorii ale proiectului din anii 1980. Proiectul evidențiază o analiză calitativă atentă a componentelor existente, înlăturând părțile mai puțin funcționale și ameliorându-le pe acelea cu potențial latent.</w:t>
      </w:r>
      <w:r>
        <w:rPr>
          <w:color w:val="231F20"/>
          <w:spacing w:val="-13"/>
        </w:rPr>
        <w:t> </w:t>
      </w:r>
      <w:r>
        <w:rPr>
          <w:color w:val="231F20"/>
        </w:rPr>
        <w:t>Autorii recunosc statutul de reper consacrat</w:t>
      </w:r>
      <w:r>
        <w:rPr>
          <w:color w:val="231F20"/>
        </w:rPr>
        <w:t> pe care l-a dobândit în timp fântâna arteziană, iar principiul reamenajării ei subliniază valențele ei ca pol de socializare. Soluția dă dovadă de maturitate în acceptarea istoriei recente a urbei, găsind o modalitate de a lucra cu această resursă existentă prin adaptare și nu prin înlocuire.</w:t>
      </w:r>
      <w:r>
        <w:rPr/>
      </w:r>
    </w:p>
    <w:p>
      <w:pPr>
        <w:spacing w:line="240" w:lineRule="auto" w:before="1"/>
        <w:rPr>
          <w:rFonts w:ascii="Arial" w:hAnsi="Arial" w:cs="Arial" w:eastAsia="Arial"/>
          <w:sz w:val="25"/>
          <w:szCs w:val="25"/>
        </w:rPr>
      </w:pPr>
    </w:p>
    <w:p>
      <w:pPr>
        <w:pStyle w:val="BodyText"/>
        <w:spacing w:line="250" w:lineRule="auto"/>
        <w:ind w:right="82"/>
        <w:jc w:val="left"/>
      </w:pPr>
      <w:r>
        <w:rPr>
          <w:color w:val="231F20"/>
        </w:rPr>
        <w:t>Prin reamenajarea pavimentului perimetral, într-o manieră unitară, soluția reușește crearea unei legături coerente dintre limbajul arhitectural al pieței cu cel al spațiilor publice adiacente. Apreciem introducerea vegetației de talie medie, asociată în mod inspirat cu mobilier urban, dar amplasarea arborilor în lungul străzii Mureșenilor / G. Barițiu creează o segregare spațială și anulează în oarecare măsură efectul unificator al pavimentului unitar din zona pietonală și cea rutieră.</w:t>
      </w:r>
      <w:r>
        <w:rPr/>
      </w:r>
    </w:p>
    <w:p>
      <w:pPr>
        <w:spacing w:line="240" w:lineRule="auto" w:before="1"/>
        <w:rPr>
          <w:rFonts w:ascii="Arial" w:hAnsi="Arial" w:cs="Arial" w:eastAsia="Arial"/>
          <w:sz w:val="25"/>
          <w:szCs w:val="25"/>
        </w:rPr>
      </w:pPr>
    </w:p>
    <w:p>
      <w:pPr>
        <w:pStyle w:val="BodyText"/>
        <w:spacing w:line="250" w:lineRule="auto"/>
        <w:ind w:right="82"/>
        <w:jc w:val="left"/>
      </w:pPr>
      <w:r>
        <w:rPr>
          <w:color w:val="231F20"/>
        </w:rPr>
        <w:t>Alegerea modelului grafic pentru zona centrală, adiacentă Casei Sfatului creează un contrast prea puternic cu zona perimetrală care beneficiază de un limbaj mult mai reținut.</w:t>
      </w:r>
      <w:r>
        <w:rPr/>
      </w:r>
    </w:p>
    <w:p>
      <w:pPr>
        <w:spacing w:line="240" w:lineRule="auto" w:before="1"/>
        <w:rPr>
          <w:rFonts w:ascii="Arial" w:hAnsi="Arial" w:cs="Arial" w:eastAsia="Arial"/>
          <w:sz w:val="25"/>
          <w:szCs w:val="25"/>
        </w:rPr>
      </w:pPr>
    </w:p>
    <w:p>
      <w:pPr>
        <w:pStyle w:val="BodyText"/>
        <w:spacing w:line="250" w:lineRule="auto"/>
        <w:ind w:right="121"/>
        <w:jc w:val="left"/>
      </w:pPr>
      <w:r>
        <w:rPr>
          <w:color w:val="231F20"/>
        </w:rPr>
        <w:t>În ceea ce privește funcțiunile existente și preconizate în Piața Sfatului, juriul consideră convingătoare strategia de reproiectare a fântânii existente ca spațiu de întâlnire. Cu toate acestea, propunerea globală limitează continuitatea spațiului și potențiala utilizare a pieței pentru evenimente de amploare din cauza topografiei artificiale puternice.</w:t>
      </w:r>
      <w:r>
        <w:rPr/>
      </w:r>
    </w:p>
    <w:p>
      <w:pPr>
        <w:spacing w:line="240" w:lineRule="auto" w:before="1"/>
        <w:rPr>
          <w:rFonts w:ascii="Arial" w:hAnsi="Arial" w:cs="Arial" w:eastAsia="Arial"/>
          <w:sz w:val="25"/>
          <w:szCs w:val="25"/>
        </w:rPr>
      </w:pPr>
    </w:p>
    <w:p>
      <w:pPr>
        <w:pStyle w:val="BodyText"/>
        <w:spacing w:line="250" w:lineRule="auto"/>
        <w:ind w:right="121"/>
        <w:jc w:val="left"/>
      </w:pPr>
      <w:r>
        <w:rPr>
          <w:color w:val="231F20"/>
        </w:rPr>
        <w:t>Încercarea de a da o a doua viață multora dintre pavajele existente și reutilizarea infrastructurii este unul dintre cele mai puternice aspecte ale acestui proiect.</w:t>
      </w:r>
      <w:r>
        <w:rPr>
          <w:color w:val="231F20"/>
          <w:spacing w:val="-13"/>
        </w:rPr>
        <w:t> </w:t>
      </w:r>
      <w:r>
        <w:rPr>
          <w:color w:val="231F20"/>
        </w:rPr>
        <w:t>Această</w:t>
      </w:r>
      <w:r>
        <w:rPr>
          <w:color w:val="231F20"/>
        </w:rPr>
        <w:t> strategie evidențiază angajamentul proiectului cu resursele limitate. Reutilizarea componentelor pavajului, marmură și piatră bazaltică, permite echipei să creeze diferite configurații și geometrii. Reutilizarea infrastructurii din beton reduce investițiile necesare pentru execuția proiectului. În ciuda atributelor menționate, fezabilitatea reutilizării unui procent mare din blocurile de piatră existente este discutabilă.</w:t>
      </w:r>
      <w:r>
        <w:rPr/>
      </w:r>
    </w:p>
    <w:p>
      <w:pPr>
        <w:spacing w:line="240" w:lineRule="auto" w:before="1"/>
        <w:rPr>
          <w:rFonts w:ascii="Arial" w:hAnsi="Arial" w:cs="Arial" w:eastAsia="Arial"/>
          <w:sz w:val="25"/>
          <w:szCs w:val="25"/>
        </w:rPr>
      </w:pPr>
    </w:p>
    <w:p>
      <w:pPr>
        <w:pStyle w:val="Heading1"/>
        <w:spacing w:line="240" w:lineRule="auto"/>
        <w:ind w:right="0"/>
        <w:jc w:val="left"/>
        <w:rPr>
          <w:b w:val="0"/>
          <w:bCs w:val="0"/>
        </w:rPr>
      </w:pPr>
      <w:r>
        <w:rPr>
          <w:color w:val="231F20"/>
        </w:rPr>
        <w:t>Pentru calitățile soluției, juriul propune acest proiect pentru mențiune onorifică.</w:t>
      </w:r>
      <w:r>
        <w:rPr>
          <w:b w:val="0"/>
        </w:rPr>
      </w:r>
    </w:p>
    <w:sectPr>
      <w:type w:val="continuous"/>
      <w:pgSz w:w="11910" w:h="16840"/>
      <w:pgMar w:top="62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 Book">
    <w:altName w:val="Gotham Book"/>
    <w:charset w:val="0"/>
    <w:family w:val="modern"/>
    <w:pitch w:val="variable"/>
  </w:font>
  <w:font w:name="Gotham Bold">
    <w:altName w:val="Gotham Bold"/>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4"/>
    </w:pPr>
    <w:rPr>
      <w:rFonts w:ascii="Arial" w:hAnsi="Arial" w:eastAsia="Arial"/>
      <w:sz w:val="24"/>
      <w:szCs w:val="24"/>
    </w:rPr>
  </w:style>
  <w:style w:styleId="Heading1" w:type="paragraph">
    <w:name w:val="Heading 1"/>
    <w:basedOn w:val="Normal"/>
    <w:uiPriority w:val="1"/>
    <w:qFormat/>
    <w:pPr>
      <w:ind w:left="104"/>
      <w:outlineLvl w:val="1"/>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2022-04-11T14:22:23Z</dcterms:created>
  <dcterms:modified xsi:type="dcterms:W3CDTF">2022-04-11T14:22:23Z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LastSaved">
    <vt:filetime>2022-04-11T00:00:00Z</vt:filetime>
  </property>
</Properties>
</file>